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8DB2" w14:textId="6CA82707" w:rsidR="0068688F" w:rsidRPr="0079220F" w:rsidRDefault="0068688F" w:rsidP="0068688F">
      <w:pPr>
        <w:pBdr>
          <w:top w:val="nil"/>
          <w:left w:val="nil"/>
          <w:bottom w:val="nil"/>
          <w:right w:val="nil"/>
          <w:between w:val="nil"/>
        </w:pBdr>
        <w:spacing w:after="0"/>
        <w:jc w:val="center"/>
        <w:rPr>
          <w:rFonts w:ascii="Times New Roman" w:eastAsia="Arial" w:hAnsi="Times New Roman" w:cs="Times New Roman"/>
          <w:b/>
          <w:bCs/>
          <w:color w:val="auto"/>
          <w:sz w:val="30"/>
          <w:szCs w:val="30"/>
          <w:highlight w:val="white"/>
        </w:rPr>
      </w:pPr>
      <w:r w:rsidRPr="0079220F">
        <w:rPr>
          <w:rFonts w:ascii="Times New Roman" w:eastAsia="Arial" w:hAnsi="Times New Roman" w:cs="Times New Roman"/>
          <w:b/>
          <w:bCs/>
          <w:color w:val="auto"/>
          <w:sz w:val="30"/>
          <w:szCs w:val="30"/>
          <w:highlight w:val="white"/>
        </w:rPr>
        <w:t>AT-A-GLANCE:</w:t>
      </w:r>
      <w:r w:rsidR="00B8594A" w:rsidRPr="0079220F">
        <w:rPr>
          <w:rFonts w:ascii="Times New Roman" w:eastAsia="Arial" w:hAnsi="Times New Roman" w:cs="Times New Roman"/>
          <w:b/>
          <w:bCs/>
          <w:color w:val="auto"/>
          <w:sz w:val="30"/>
          <w:szCs w:val="30"/>
          <w:highlight w:val="white"/>
        </w:rPr>
        <w:t xml:space="preserve"> </w:t>
      </w:r>
      <w:r w:rsidRPr="0079220F">
        <w:rPr>
          <w:rFonts w:ascii="Times New Roman" w:eastAsia="Arial" w:hAnsi="Times New Roman" w:cs="Times New Roman"/>
          <w:b/>
          <w:bCs/>
          <w:color w:val="auto"/>
          <w:sz w:val="30"/>
          <w:szCs w:val="30"/>
          <w:highlight w:val="white"/>
        </w:rPr>
        <w:t>Fundamentals of Equity in the Sustainable Built Environment</w:t>
      </w:r>
    </w:p>
    <w:p w14:paraId="69F1B97E" w14:textId="77777777" w:rsidR="0068688F" w:rsidRPr="00B8594A" w:rsidRDefault="0068688F" w:rsidP="0068688F">
      <w:pPr>
        <w:pBdr>
          <w:top w:val="nil"/>
          <w:left w:val="nil"/>
          <w:bottom w:val="nil"/>
          <w:right w:val="nil"/>
          <w:between w:val="nil"/>
        </w:pBdr>
        <w:spacing w:after="0"/>
        <w:rPr>
          <w:rFonts w:ascii="Times New Roman" w:eastAsia="Arial" w:hAnsi="Times New Roman" w:cs="Times New Roman"/>
          <w:i/>
          <w:iCs/>
          <w:color w:val="auto"/>
          <w:sz w:val="22"/>
          <w:szCs w:val="22"/>
          <w:highlight w:val="white"/>
        </w:rPr>
      </w:pPr>
    </w:p>
    <w:p w14:paraId="4BDBD777" w14:textId="6ADA39CC" w:rsidR="0068688F" w:rsidRPr="00B8594A" w:rsidRDefault="0068688F" w:rsidP="0068688F">
      <w:pPr>
        <w:pBdr>
          <w:top w:val="nil"/>
          <w:left w:val="nil"/>
          <w:bottom w:val="nil"/>
          <w:right w:val="nil"/>
          <w:between w:val="nil"/>
        </w:pBdr>
        <w:spacing w:after="0"/>
        <w:rPr>
          <w:rFonts w:ascii="Times New Roman" w:eastAsia="Georgia" w:hAnsi="Times New Roman" w:cs="Times New Roman"/>
          <w:b/>
          <w:color w:val="auto"/>
          <w:sz w:val="22"/>
          <w:szCs w:val="22"/>
        </w:rPr>
      </w:pPr>
      <w:r w:rsidRPr="00B8594A">
        <w:rPr>
          <w:rFonts w:ascii="Times New Roman" w:eastAsia="Arial" w:hAnsi="Times New Roman" w:cs="Times New Roman"/>
          <w:color w:val="auto"/>
          <w:sz w:val="22"/>
          <w:szCs w:val="22"/>
          <w:highlight w:val="white"/>
        </w:rPr>
        <w:t xml:space="preserve">This </w:t>
      </w:r>
      <w:r w:rsidRPr="00B8594A">
        <w:rPr>
          <w:rFonts w:ascii="Times New Roman" w:eastAsia="Arial" w:hAnsi="Times New Roman" w:cs="Times New Roman"/>
          <w:color w:val="auto"/>
          <w:sz w:val="22"/>
          <w:szCs w:val="22"/>
          <w:highlight w:val="white"/>
        </w:rPr>
        <w:t>summary document</w:t>
      </w:r>
      <w:r w:rsidRPr="00B8594A">
        <w:rPr>
          <w:rFonts w:ascii="Times New Roman" w:eastAsia="Arial" w:hAnsi="Times New Roman" w:cs="Times New Roman"/>
          <w:color w:val="auto"/>
          <w:sz w:val="22"/>
          <w:szCs w:val="22"/>
          <w:highlight w:val="white"/>
        </w:rPr>
        <w:t xml:space="preserve"> introduces students to </w:t>
      </w:r>
      <w:r w:rsidRPr="00B8594A">
        <w:rPr>
          <w:rFonts w:ascii="Times New Roman" w:eastAsia="Arial" w:hAnsi="Times New Roman" w:cs="Times New Roman"/>
          <w:color w:val="auto"/>
          <w:sz w:val="22"/>
          <w:szCs w:val="22"/>
          <w:highlight w:val="white"/>
        </w:rPr>
        <w:t>key concepts regarding equity as a core component of the sustainable built environment</w:t>
      </w:r>
      <w:r w:rsidRPr="00B8594A">
        <w:rPr>
          <w:rFonts w:ascii="Times New Roman" w:eastAsia="Arial" w:hAnsi="Times New Roman" w:cs="Times New Roman"/>
          <w:color w:val="auto"/>
          <w:sz w:val="22"/>
          <w:szCs w:val="22"/>
          <w:highlight w:val="white"/>
        </w:rPr>
        <w:t xml:space="preserve">. </w:t>
      </w:r>
      <w:r w:rsidRPr="00B8594A">
        <w:rPr>
          <w:rFonts w:ascii="Times New Roman" w:eastAsia="Arial" w:hAnsi="Times New Roman" w:cs="Times New Roman"/>
          <w:color w:val="auto"/>
          <w:sz w:val="22"/>
          <w:szCs w:val="22"/>
          <w:highlight w:val="white"/>
        </w:rPr>
        <w:t xml:space="preserve">It is excerpted from the </w:t>
      </w:r>
      <w:hyperlink r:id="rId9" w:history="1">
        <w:r w:rsidRPr="00B8594A">
          <w:rPr>
            <w:rStyle w:val="Hyperlink"/>
            <w:rFonts w:ascii="Times New Roman" w:eastAsia="Arial" w:hAnsi="Times New Roman" w:cs="Times New Roman"/>
            <w:i/>
            <w:iCs/>
            <w:sz w:val="22"/>
            <w:szCs w:val="22"/>
            <w:highlight w:val="white"/>
          </w:rPr>
          <w:t>SLS Teaching Tool: Fundamentals of Equity in the Sustainable Built Environment</w:t>
        </w:r>
      </w:hyperlink>
      <w:r w:rsidRPr="00B8594A">
        <w:rPr>
          <w:rFonts w:ascii="Times New Roman" w:eastAsia="Arial" w:hAnsi="Times New Roman" w:cs="Times New Roman"/>
          <w:i/>
          <w:iCs/>
          <w:color w:val="auto"/>
          <w:sz w:val="22"/>
          <w:szCs w:val="22"/>
          <w:highlight w:val="white"/>
        </w:rPr>
        <w:t xml:space="preserve">, </w:t>
      </w:r>
      <w:r w:rsidRPr="00B8594A">
        <w:rPr>
          <w:rFonts w:ascii="Times New Roman" w:eastAsia="Arial" w:hAnsi="Times New Roman" w:cs="Times New Roman"/>
          <w:color w:val="auto"/>
          <w:sz w:val="22"/>
          <w:szCs w:val="22"/>
          <w:highlight w:val="white"/>
        </w:rPr>
        <w:t>which lays out class activities and assignments to help</w:t>
      </w:r>
      <w:r w:rsidRPr="00B8594A">
        <w:rPr>
          <w:rFonts w:ascii="Times New Roman" w:eastAsia="Arial" w:hAnsi="Times New Roman" w:cs="Times New Roman"/>
          <w:color w:val="auto"/>
          <w:sz w:val="22"/>
          <w:szCs w:val="22"/>
          <w:highlight w:val="white"/>
        </w:rPr>
        <w:t xml:space="preserve"> students consider equity more </w:t>
      </w:r>
      <w:r w:rsidRPr="00B8594A">
        <w:rPr>
          <w:rFonts w:ascii="Times New Roman" w:eastAsia="Arial" w:hAnsi="Times New Roman" w:cs="Times New Roman"/>
          <w:color w:val="auto"/>
          <w:sz w:val="22"/>
          <w:szCs w:val="22"/>
          <w:highlight w:val="white"/>
        </w:rPr>
        <w:t xml:space="preserve">deeply and </w:t>
      </w:r>
      <w:r w:rsidRPr="00B8594A">
        <w:rPr>
          <w:rFonts w:ascii="Times New Roman" w:eastAsia="Arial" w:hAnsi="Times New Roman" w:cs="Times New Roman"/>
          <w:color w:val="auto"/>
          <w:sz w:val="22"/>
          <w:szCs w:val="22"/>
          <w:highlight w:val="white"/>
        </w:rPr>
        <w:t>comprehensively as a foundational component of sustainability.</w:t>
      </w:r>
      <w:r w:rsidRPr="00B8594A">
        <w:rPr>
          <w:rFonts w:ascii="Times New Roman" w:eastAsia="Roboto" w:hAnsi="Times New Roman" w:cs="Times New Roman"/>
          <w:color w:val="auto"/>
          <w:sz w:val="22"/>
          <w:szCs w:val="22"/>
          <w:highlight w:val="white"/>
        </w:rPr>
        <w:t xml:space="preserve"> </w:t>
      </w:r>
      <w:r w:rsidRPr="00B8594A">
        <w:rPr>
          <w:rFonts w:ascii="Times New Roman" w:eastAsia="Arial" w:hAnsi="Times New Roman" w:cs="Times New Roman"/>
          <w:color w:val="auto"/>
          <w:sz w:val="22"/>
          <w:szCs w:val="22"/>
        </w:rPr>
        <w:t>Th</w:t>
      </w:r>
      <w:r w:rsidRPr="00B8594A">
        <w:rPr>
          <w:rFonts w:ascii="Times New Roman" w:eastAsia="Arial" w:hAnsi="Times New Roman" w:cs="Times New Roman"/>
          <w:color w:val="auto"/>
          <w:sz w:val="22"/>
          <w:szCs w:val="22"/>
        </w:rPr>
        <w:t xml:space="preserve">e key concepts and the </w:t>
      </w:r>
      <w:r w:rsidRPr="00B8594A">
        <w:rPr>
          <w:rFonts w:ascii="Times New Roman" w:eastAsia="Arial" w:hAnsi="Times New Roman" w:cs="Times New Roman"/>
          <w:color w:val="auto"/>
          <w:sz w:val="22"/>
          <w:szCs w:val="22"/>
        </w:rPr>
        <w:t xml:space="preserve">tool </w:t>
      </w:r>
      <w:r w:rsidRPr="00B8594A">
        <w:rPr>
          <w:rFonts w:ascii="Times New Roman" w:eastAsia="Arial" w:hAnsi="Times New Roman" w:cs="Times New Roman"/>
          <w:color w:val="auto"/>
          <w:sz w:val="22"/>
          <w:szCs w:val="22"/>
        </w:rPr>
        <w:t>are</w:t>
      </w:r>
      <w:r w:rsidRPr="00B8594A">
        <w:rPr>
          <w:rFonts w:ascii="Times New Roman" w:eastAsia="Arial" w:hAnsi="Times New Roman" w:cs="Times New Roman"/>
          <w:color w:val="auto"/>
          <w:sz w:val="22"/>
          <w:szCs w:val="22"/>
        </w:rPr>
        <w:t xml:space="preserve"> grounded in the following three </w:t>
      </w:r>
      <w:r w:rsidR="00B10EF6">
        <w:rPr>
          <w:rFonts w:ascii="Times New Roman" w:eastAsia="Arial" w:hAnsi="Times New Roman" w:cs="Times New Roman"/>
          <w:color w:val="auto"/>
          <w:sz w:val="22"/>
          <w:szCs w:val="22"/>
        </w:rPr>
        <w:t>core</w:t>
      </w:r>
      <w:r w:rsidRPr="00B8594A">
        <w:rPr>
          <w:rFonts w:ascii="Times New Roman" w:eastAsia="Arial" w:hAnsi="Times New Roman" w:cs="Times New Roman"/>
          <w:color w:val="auto"/>
          <w:sz w:val="22"/>
          <w:szCs w:val="22"/>
        </w:rPr>
        <w:t xml:space="preserve"> documents: </w:t>
      </w:r>
      <w:hyperlink r:id="rId10">
        <w:r w:rsidRPr="00B8594A">
          <w:rPr>
            <w:rFonts w:ascii="Times New Roman" w:eastAsia="Arial" w:hAnsi="Times New Roman" w:cs="Times New Roman"/>
            <w:color w:val="auto"/>
            <w:sz w:val="22"/>
            <w:szCs w:val="22"/>
            <w:u w:val="single"/>
          </w:rPr>
          <w:t>Inclusion by Design (Commission for Architecture and the Built Environment [CABE])</w:t>
        </w:r>
      </w:hyperlink>
      <w:r w:rsidRPr="00B8594A">
        <w:rPr>
          <w:rFonts w:ascii="Times New Roman" w:eastAsia="Arial" w:hAnsi="Times New Roman" w:cs="Times New Roman"/>
          <w:color w:val="auto"/>
          <w:sz w:val="22"/>
          <w:szCs w:val="22"/>
        </w:rPr>
        <w:t xml:space="preserve">, </w:t>
      </w:r>
      <w:hyperlink r:id="rId11">
        <w:r w:rsidR="00B8594A" w:rsidRPr="00B8594A">
          <w:rPr>
            <w:rFonts w:ascii="Times New Roman" w:eastAsia="Arial" w:hAnsi="Times New Roman" w:cs="Times New Roman"/>
            <w:color w:val="auto"/>
            <w:sz w:val="22"/>
            <w:szCs w:val="22"/>
            <w:u w:val="single"/>
          </w:rPr>
          <w:t>NAACP G</w:t>
        </w:r>
        <w:r w:rsidRPr="00B8594A">
          <w:rPr>
            <w:rFonts w:ascii="Times New Roman" w:eastAsia="Arial" w:hAnsi="Times New Roman" w:cs="Times New Roman"/>
            <w:color w:val="auto"/>
            <w:sz w:val="22"/>
            <w:szCs w:val="22"/>
            <w:u w:val="single"/>
          </w:rPr>
          <w:t>etting Beyond Green Report (National Association for the Advancement of Colored People)</w:t>
        </w:r>
      </w:hyperlink>
      <w:r w:rsidRPr="00B8594A">
        <w:rPr>
          <w:rFonts w:ascii="Times New Roman" w:eastAsia="Arial" w:hAnsi="Times New Roman" w:cs="Times New Roman"/>
          <w:color w:val="auto"/>
          <w:sz w:val="22"/>
          <w:szCs w:val="22"/>
        </w:rPr>
        <w:t xml:space="preserve">, and the </w:t>
      </w:r>
      <w:hyperlink r:id="rId12">
        <w:r w:rsidRPr="00B8594A">
          <w:rPr>
            <w:rFonts w:ascii="Times New Roman" w:eastAsia="Arial" w:hAnsi="Times New Roman" w:cs="Times New Roman"/>
            <w:color w:val="auto"/>
            <w:sz w:val="22"/>
            <w:szCs w:val="22"/>
            <w:u w:val="single"/>
          </w:rPr>
          <w:t>SLS Teaching Tool: Introduction to Equitable and Sustainable Development</w:t>
        </w:r>
      </w:hyperlink>
      <w:r w:rsidR="00B8594A" w:rsidRPr="00B8594A">
        <w:rPr>
          <w:rFonts w:ascii="Times New Roman" w:eastAsia="Arial" w:hAnsi="Times New Roman" w:cs="Times New Roman"/>
          <w:color w:val="auto"/>
          <w:sz w:val="22"/>
          <w:szCs w:val="22"/>
          <w:u w:val="single"/>
        </w:rPr>
        <w:t>.</w:t>
      </w:r>
    </w:p>
    <w:p w14:paraId="49CDC2FA" w14:textId="77777777" w:rsidR="0068688F" w:rsidRPr="00B8594A" w:rsidRDefault="0068688F" w:rsidP="0068688F">
      <w:pPr>
        <w:pBdr>
          <w:top w:val="nil"/>
          <w:left w:val="nil"/>
          <w:bottom w:val="nil"/>
          <w:right w:val="nil"/>
          <w:between w:val="nil"/>
        </w:pBdr>
        <w:spacing w:after="0"/>
        <w:rPr>
          <w:rFonts w:ascii="Times New Roman" w:eastAsia="Georgia" w:hAnsi="Times New Roman" w:cs="Times New Roman"/>
          <w:b/>
          <w:color w:val="auto"/>
          <w:sz w:val="22"/>
          <w:szCs w:val="22"/>
        </w:rPr>
      </w:pPr>
    </w:p>
    <w:p w14:paraId="0000007A" w14:textId="4BE5CBF1" w:rsidR="00247B95" w:rsidRPr="0079220F" w:rsidRDefault="005D04B8" w:rsidP="0068688F">
      <w:pPr>
        <w:pBdr>
          <w:top w:val="nil"/>
          <w:left w:val="nil"/>
          <w:bottom w:val="nil"/>
          <w:right w:val="nil"/>
          <w:between w:val="nil"/>
        </w:pBdr>
        <w:spacing w:after="0"/>
        <w:rPr>
          <w:rFonts w:ascii="Times New Roman" w:eastAsia="Georgia" w:hAnsi="Times New Roman" w:cs="Times New Roman"/>
          <w:b/>
          <w:color w:val="auto"/>
          <w:sz w:val="26"/>
          <w:szCs w:val="26"/>
        </w:rPr>
      </w:pPr>
      <w:r w:rsidRPr="0079220F">
        <w:rPr>
          <w:rFonts w:ascii="Times New Roman" w:eastAsia="Georgia" w:hAnsi="Times New Roman" w:cs="Times New Roman"/>
          <w:b/>
          <w:color w:val="auto"/>
          <w:sz w:val="26"/>
          <w:szCs w:val="26"/>
        </w:rPr>
        <w:t>The Equity Fundamentals</w:t>
      </w:r>
    </w:p>
    <w:p w14:paraId="0000007C" w14:textId="6D45380F" w:rsidR="00247B95" w:rsidRPr="0079220F" w:rsidRDefault="00247B95" w:rsidP="0079220F">
      <w:pPr>
        <w:pBdr>
          <w:top w:val="nil"/>
          <w:left w:val="nil"/>
          <w:bottom w:val="nil"/>
          <w:right w:val="nil"/>
          <w:between w:val="nil"/>
        </w:pBdr>
        <w:spacing w:after="0"/>
        <w:rPr>
          <w:rFonts w:ascii="Times New Roman" w:eastAsia="Arial" w:hAnsi="Times New Roman" w:cs="Times New Roman"/>
          <w:color w:val="auto"/>
          <w:sz w:val="10"/>
          <w:szCs w:val="10"/>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3"/>
        <w:gridCol w:w="4562"/>
        <w:gridCol w:w="8125"/>
      </w:tblGrid>
      <w:tr w:rsidR="0068688F" w:rsidRPr="00B8594A" w14:paraId="5A64B325" w14:textId="77777777" w:rsidTr="00B10EF6">
        <w:trPr>
          <w:trHeight w:val="332"/>
        </w:trPr>
        <w:tc>
          <w:tcPr>
            <w:tcW w:w="592" w:type="pct"/>
            <w:tcBorders>
              <w:top w:val="single" w:sz="4" w:space="0" w:color="000000"/>
              <w:left w:val="single" w:sz="4" w:space="0" w:color="000000"/>
              <w:bottom w:val="single" w:sz="4" w:space="0" w:color="000000"/>
              <w:right w:val="single" w:sz="4" w:space="0" w:color="000000"/>
            </w:tcBorders>
            <w:shd w:val="clear" w:color="auto" w:fill="DEEBF6"/>
          </w:tcPr>
          <w:p w14:paraId="0000007D" w14:textId="1AFAEBB6" w:rsidR="00247B95" w:rsidRPr="00B8594A" w:rsidRDefault="005D04B8" w:rsidP="0079220F">
            <w:pPr>
              <w:rPr>
                <w:rFonts w:ascii="Times New Roman" w:eastAsia="Arial" w:hAnsi="Times New Roman" w:cs="Times New Roman"/>
                <w:i/>
                <w:color w:val="auto"/>
                <w:sz w:val="22"/>
                <w:szCs w:val="22"/>
              </w:rPr>
            </w:pPr>
            <w:r w:rsidRPr="00B8594A">
              <w:rPr>
                <w:rFonts w:ascii="Times New Roman" w:eastAsia="Arial" w:hAnsi="Times New Roman" w:cs="Times New Roman"/>
                <w:i/>
                <w:color w:val="auto"/>
                <w:sz w:val="22"/>
                <w:szCs w:val="22"/>
              </w:rPr>
              <w:t>Equity Fundamentals</w:t>
            </w:r>
          </w:p>
        </w:tc>
        <w:tc>
          <w:tcPr>
            <w:tcW w:w="1585" w:type="pct"/>
            <w:tcBorders>
              <w:top w:val="single" w:sz="4" w:space="0" w:color="000000"/>
              <w:left w:val="nil"/>
              <w:bottom w:val="single" w:sz="4" w:space="0" w:color="000000"/>
              <w:right w:val="single" w:sz="4" w:space="0" w:color="000000"/>
            </w:tcBorders>
            <w:shd w:val="clear" w:color="auto" w:fill="DEEBF6"/>
          </w:tcPr>
          <w:p w14:paraId="0000007E" w14:textId="391C9954" w:rsidR="00247B95" w:rsidRPr="00B8594A" w:rsidRDefault="005D04B8" w:rsidP="0079220F">
            <w:pPr>
              <w:rPr>
                <w:rFonts w:ascii="Times New Roman" w:eastAsia="Arial" w:hAnsi="Times New Roman" w:cs="Times New Roman"/>
                <w:i/>
                <w:color w:val="auto"/>
                <w:sz w:val="22"/>
                <w:szCs w:val="22"/>
              </w:rPr>
            </w:pPr>
            <w:r w:rsidRPr="00B8594A">
              <w:rPr>
                <w:rFonts w:ascii="Times New Roman" w:eastAsia="Arial" w:hAnsi="Times New Roman" w:cs="Times New Roman"/>
                <w:i/>
                <w:color w:val="auto"/>
                <w:sz w:val="22"/>
                <w:szCs w:val="22"/>
              </w:rPr>
              <w:t xml:space="preserve">Key </w:t>
            </w:r>
            <w:r w:rsidR="00B10EF6">
              <w:rPr>
                <w:rFonts w:ascii="Times New Roman" w:eastAsia="Arial" w:hAnsi="Times New Roman" w:cs="Times New Roman"/>
                <w:i/>
                <w:color w:val="auto"/>
                <w:sz w:val="22"/>
                <w:szCs w:val="22"/>
              </w:rPr>
              <w:t>Ideas from 3 Core Documents</w:t>
            </w:r>
          </w:p>
        </w:tc>
        <w:tc>
          <w:tcPr>
            <w:tcW w:w="2822" w:type="pct"/>
            <w:tcBorders>
              <w:top w:val="single" w:sz="4" w:space="0" w:color="000000"/>
              <w:left w:val="nil"/>
              <w:bottom w:val="single" w:sz="4" w:space="0" w:color="000000"/>
              <w:right w:val="single" w:sz="4" w:space="0" w:color="000000"/>
            </w:tcBorders>
            <w:shd w:val="clear" w:color="auto" w:fill="DEEBF6"/>
          </w:tcPr>
          <w:p w14:paraId="0000007F" w14:textId="77777777" w:rsidR="00247B95" w:rsidRPr="00B8594A" w:rsidRDefault="005D04B8" w:rsidP="0079220F">
            <w:pPr>
              <w:rPr>
                <w:rFonts w:ascii="Times New Roman" w:eastAsia="Arial" w:hAnsi="Times New Roman" w:cs="Times New Roman"/>
                <w:i/>
                <w:color w:val="auto"/>
                <w:sz w:val="22"/>
                <w:szCs w:val="22"/>
              </w:rPr>
            </w:pPr>
            <w:r w:rsidRPr="00B8594A">
              <w:rPr>
                <w:rFonts w:ascii="Times New Roman" w:eastAsia="Arial" w:hAnsi="Times New Roman" w:cs="Times New Roman"/>
                <w:i/>
                <w:color w:val="auto"/>
                <w:sz w:val="22"/>
                <w:szCs w:val="22"/>
              </w:rPr>
              <w:t>Explanation</w:t>
            </w:r>
          </w:p>
        </w:tc>
      </w:tr>
      <w:tr w:rsidR="0068688F" w:rsidRPr="00B8594A" w14:paraId="6439798A" w14:textId="77777777" w:rsidTr="00B10EF6">
        <w:trPr>
          <w:trHeight w:val="1529"/>
        </w:trPr>
        <w:tc>
          <w:tcPr>
            <w:tcW w:w="592" w:type="pct"/>
            <w:tcBorders>
              <w:top w:val="single" w:sz="4" w:space="0" w:color="000000"/>
              <w:left w:val="single" w:sz="4" w:space="0" w:color="000000"/>
              <w:bottom w:val="single" w:sz="4" w:space="0" w:color="000000"/>
              <w:right w:val="single" w:sz="4" w:space="0" w:color="000000"/>
            </w:tcBorders>
            <w:shd w:val="clear" w:color="auto" w:fill="EFEFEF"/>
          </w:tcPr>
          <w:p w14:paraId="00000080" w14:textId="77777777" w:rsidR="00247B95" w:rsidRPr="00B8594A" w:rsidRDefault="005D04B8" w:rsidP="0079220F">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Culture: A Right to Belong</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00000081" w14:textId="77777777" w:rsidR="00247B95" w:rsidRPr="00B10EF6" w:rsidRDefault="005D04B8" w:rsidP="0079220F">
            <w:pPr>
              <w:rPr>
                <w:rFonts w:ascii="Times New Roman" w:eastAsia="Arial" w:hAnsi="Times New Roman" w:cs="Times New Roman"/>
                <w:i/>
                <w:color w:val="auto"/>
                <w:sz w:val="20"/>
                <w:szCs w:val="20"/>
              </w:rPr>
            </w:pPr>
            <w:r w:rsidRPr="00B10EF6">
              <w:rPr>
                <w:rFonts w:ascii="Times New Roman" w:eastAsia="Arial" w:hAnsi="Times New Roman" w:cs="Times New Roman"/>
                <w:i/>
                <w:color w:val="auto"/>
                <w:sz w:val="20"/>
                <w:szCs w:val="20"/>
              </w:rPr>
              <w:t>Access with dignity; Treatment with respect; Flexible, convenient, and accommodating; Universal access</w:t>
            </w:r>
          </w:p>
        </w:tc>
        <w:tc>
          <w:tcPr>
            <w:tcW w:w="2822" w:type="pct"/>
            <w:tcBorders>
              <w:top w:val="single" w:sz="4" w:space="0" w:color="000000"/>
              <w:left w:val="single" w:sz="4" w:space="0" w:color="000000"/>
              <w:bottom w:val="single" w:sz="4" w:space="0" w:color="000000"/>
              <w:right w:val="single" w:sz="4" w:space="0" w:color="000000"/>
            </w:tcBorders>
            <w:shd w:val="clear" w:color="auto" w:fill="auto"/>
          </w:tcPr>
          <w:p w14:paraId="00000082" w14:textId="77777777" w:rsidR="00247B95" w:rsidRPr="00B10EF6" w:rsidRDefault="005D04B8" w:rsidP="0079220F">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People must feel they have the right to be inside of and use a building. All equitable buildings, at the bare minimum, must be physically and economically accessible. They must be structured to honor and further local culture, activities, and values. Management must focus on using design, staff, and furnishings to foster a sense of belonging (diverse management helps significantly here). No equitable building will hold an offensive name or offensive statues, or other decorations or commemorations.</w:t>
            </w:r>
          </w:p>
        </w:tc>
      </w:tr>
      <w:tr w:rsidR="0068688F" w:rsidRPr="00B8594A" w14:paraId="0BF8A0F1" w14:textId="77777777" w:rsidTr="00B10EF6">
        <w:trPr>
          <w:trHeight w:val="1790"/>
        </w:trPr>
        <w:tc>
          <w:tcPr>
            <w:tcW w:w="592" w:type="pct"/>
            <w:tcBorders>
              <w:top w:val="single" w:sz="4" w:space="0" w:color="000000"/>
              <w:left w:val="single" w:sz="4" w:space="0" w:color="000000"/>
              <w:bottom w:val="single" w:sz="4" w:space="0" w:color="000000"/>
              <w:right w:val="single" w:sz="4" w:space="0" w:color="000000"/>
            </w:tcBorders>
            <w:shd w:val="clear" w:color="auto" w:fill="EFEFEF"/>
          </w:tcPr>
          <w:p w14:paraId="00000083" w14:textId="77777777" w:rsidR="00247B95" w:rsidRPr="00B8594A" w:rsidRDefault="005D04B8" w:rsidP="0079220F">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Community Engagement</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00000084" w14:textId="77777777" w:rsidR="00247B95" w:rsidRPr="00B10EF6" w:rsidRDefault="005D04B8" w:rsidP="0079220F">
            <w:pPr>
              <w:rPr>
                <w:rFonts w:ascii="Times New Roman" w:eastAsia="Arial" w:hAnsi="Times New Roman" w:cs="Times New Roman"/>
                <w:i/>
                <w:color w:val="auto"/>
                <w:sz w:val="20"/>
                <w:szCs w:val="20"/>
              </w:rPr>
            </w:pPr>
            <w:r w:rsidRPr="00B10EF6">
              <w:rPr>
                <w:rFonts w:ascii="Times New Roman" w:eastAsia="Arial" w:hAnsi="Times New Roman" w:cs="Times New Roman"/>
                <w:i/>
                <w:color w:val="auto"/>
                <w:sz w:val="20"/>
                <w:szCs w:val="20"/>
              </w:rPr>
              <w:t>Relevant services; Inclusion; Health-promotion for at-risk groups; Your voice is a powerful and necessary tool in assuring that large development projects benefit existing communities and benefit nature; Infrastructure development impacts different communities in different ways; Values influence development decisions.</w:t>
            </w:r>
          </w:p>
        </w:tc>
        <w:tc>
          <w:tcPr>
            <w:tcW w:w="2822" w:type="pct"/>
            <w:tcBorders>
              <w:top w:val="single" w:sz="4" w:space="0" w:color="000000"/>
              <w:left w:val="single" w:sz="4" w:space="0" w:color="000000"/>
              <w:bottom w:val="single" w:sz="4" w:space="0" w:color="000000"/>
              <w:right w:val="single" w:sz="4" w:space="0" w:color="000000"/>
            </w:tcBorders>
            <w:shd w:val="clear" w:color="auto" w:fill="auto"/>
          </w:tcPr>
          <w:p w14:paraId="00000085" w14:textId="77777777" w:rsidR="00247B95" w:rsidRPr="00B10EF6" w:rsidRDefault="005D04B8" w:rsidP="0079220F">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The community and/or its leaders must be actively engaged throughout the building life cycle (design, construction, use). The building must seize every opportunity to engage and teach its local community. There must be a strong track record of involvement and listening. Training in design and planning can encourage people to act as ambassadors for the communities in the design process (IBD).  Creating a balance between privacy and community vigilance is extremely important and requires thorough community engagement. Proposal must be communicated with the community effectively, using accessible, plain language. </w:t>
            </w:r>
          </w:p>
        </w:tc>
      </w:tr>
      <w:tr w:rsidR="0068688F" w:rsidRPr="00B8594A" w14:paraId="5C42F00D" w14:textId="77777777" w:rsidTr="00B10EF6">
        <w:trPr>
          <w:trHeight w:val="1781"/>
        </w:trPr>
        <w:tc>
          <w:tcPr>
            <w:tcW w:w="592" w:type="pct"/>
            <w:tcBorders>
              <w:top w:val="single" w:sz="4" w:space="0" w:color="000000"/>
              <w:left w:val="single" w:sz="4" w:space="0" w:color="000000"/>
              <w:bottom w:val="single" w:sz="4" w:space="0" w:color="000000"/>
              <w:right w:val="single" w:sz="4" w:space="0" w:color="000000"/>
            </w:tcBorders>
            <w:shd w:val="clear" w:color="auto" w:fill="EFEFEF"/>
          </w:tcPr>
          <w:p w14:paraId="00000086"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Enhance the Local Environment</w:t>
            </w:r>
          </w:p>
        </w:tc>
        <w:tc>
          <w:tcPr>
            <w:tcW w:w="1585" w:type="pct"/>
            <w:tcBorders>
              <w:top w:val="single" w:sz="4" w:space="0" w:color="000000"/>
              <w:left w:val="nil"/>
              <w:bottom w:val="single" w:sz="4" w:space="0" w:color="000000"/>
              <w:right w:val="single" w:sz="4" w:space="0" w:color="000000"/>
            </w:tcBorders>
            <w:shd w:val="clear" w:color="auto" w:fill="auto"/>
          </w:tcPr>
          <w:p w14:paraId="00000087" w14:textId="77777777" w:rsidR="00247B95" w:rsidRPr="00B10EF6" w:rsidRDefault="005D04B8" w:rsidP="00B10EF6">
            <w:pPr>
              <w:rPr>
                <w:rFonts w:ascii="Times New Roman" w:eastAsia="Arial" w:hAnsi="Times New Roman" w:cs="Times New Roman"/>
                <w:i/>
                <w:color w:val="auto"/>
                <w:sz w:val="20"/>
                <w:szCs w:val="20"/>
              </w:rPr>
            </w:pPr>
            <w:r w:rsidRPr="00B10EF6">
              <w:rPr>
                <w:rFonts w:ascii="Times New Roman" w:eastAsia="Arial" w:hAnsi="Times New Roman" w:cs="Times New Roman"/>
                <w:i/>
                <w:color w:val="auto"/>
                <w:sz w:val="20"/>
                <w:szCs w:val="20"/>
              </w:rPr>
              <w:t xml:space="preserve">Equitable emergency </w:t>
            </w:r>
            <w:proofErr w:type="gramStart"/>
            <w:r w:rsidRPr="00B10EF6">
              <w:rPr>
                <w:rFonts w:ascii="Times New Roman" w:eastAsia="Arial" w:hAnsi="Times New Roman" w:cs="Times New Roman"/>
                <w:i/>
                <w:color w:val="auto"/>
                <w:sz w:val="20"/>
                <w:szCs w:val="20"/>
              </w:rPr>
              <w:t>response;</w:t>
            </w:r>
            <w:proofErr w:type="gramEnd"/>
            <w:r w:rsidRPr="00B10EF6">
              <w:rPr>
                <w:rFonts w:ascii="Times New Roman" w:eastAsia="Arial" w:hAnsi="Times New Roman" w:cs="Times New Roman"/>
                <w:i/>
                <w:color w:val="auto"/>
                <w:sz w:val="20"/>
                <w:szCs w:val="20"/>
              </w:rPr>
              <w:t xml:space="preserve"> Infrastructure serves multiple purposes; Development decisions impact both human and non-human life.  </w:t>
            </w:r>
          </w:p>
        </w:tc>
        <w:tc>
          <w:tcPr>
            <w:tcW w:w="2822" w:type="pct"/>
            <w:tcBorders>
              <w:top w:val="single" w:sz="4" w:space="0" w:color="000000"/>
              <w:left w:val="nil"/>
              <w:bottom w:val="single" w:sz="4" w:space="0" w:color="000000"/>
              <w:right w:val="single" w:sz="4" w:space="0" w:color="000000"/>
            </w:tcBorders>
            <w:shd w:val="clear" w:color="auto" w:fill="auto"/>
          </w:tcPr>
          <w:p w14:paraId="00000088"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At the bare minimum, an equitable building will not negatively impact its surrounding natural or built environment. Ideally, the building will </w:t>
            </w:r>
            <w:r w:rsidRPr="00B10EF6">
              <w:rPr>
                <w:rFonts w:ascii="Times New Roman" w:eastAsia="Arial" w:hAnsi="Times New Roman" w:cs="Times New Roman"/>
                <w:i/>
                <w:color w:val="auto"/>
                <w:sz w:val="20"/>
                <w:szCs w:val="20"/>
              </w:rPr>
              <w:t>complement</w:t>
            </w:r>
            <w:r w:rsidRPr="00B10EF6">
              <w:rPr>
                <w:rFonts w:ascii="Times New Roman" w:eastAsia="Arial" w:hAnsi="Times New Roman" w:cs="Times New Roman"/>
                <w:color w:val="auto"/>
                <w:sz w:val="20"/>
                <w:szCs w:val="20"/>
              </w:rPr>
              <w:t xml:space="preserve"> its natural environment by addressing local issues in its design (</w:t>
            </w:r>
            <w:proofErr w:type="gramStart"/>
            <w:r w:rsidRPr="00B10EF6">
              <w:rPr>
                <w:rFonts w:ascii="Times New Roman" w:eastAsia="Arial" w:hAnsi="Times New Roman" w:cs="Times New Roman"/>
                <w:color w:val="auto"/>
                <w:sz w:val="20"/>
                <w:szCs w:val="20"/>
              </w:rPr>
              <w:t>i.e.</w:t>
            </w:r>
            <w:proofErr w:type="gramEnd"/>
            <w:r w:rsidRPr="00B10EF6">
              <w:rPr>
                <w:rFonts w:ascii="Times New Roman" w:eastAsia="Arial" w:hAnsi="Times New Roman" w:cs="Times New Roman"/>
                <w:color w:val="auto"/>
                <w:sz w:val="20"/>
                <w:szCs w:val="20"/>
              </w:rPr>
              <w:t xml:space="preserve"> planting trees to improve air quality, being mindful of native species, providing gardening space if needed, etc.) and not introducing any environmental hazards. An equitable building and its surrounding sidewalk, parking lot, landscaping, etc. must be well-maintained as appropriate. Additionally, the building shall not introduce or exacerbate existing issues of high-volume traffic or noise. It will also complement its built environment. </w:t>
            </w:r>
          </w:p>
        </w:tc>
      </w:tr>
      <w:tr w:rsidR="0068688F" w:rsidRPr="00B8594A" w14:paraId="0F000CE6" w14:textId="77777777" w:rsidTr="00B10EF6">
        <w:trPr>
          <w:trHeight w:val="890"/>
        </w:trPr>
        <w:tc>
          <w:tcPr>
            <w:tcW w:w="592" w:type="pct"/>
            <w:tcBorders>
              <w:top w:val="nil"/>
              <w:left w:val="single" w:sz="4" w:space="0" w:color="000000"/>
              <w:bottom w:val="single" w:sz="4" w:space="0" w:color="000000"/>
              <w:right w:val="single" w:sz="4" w:space="0" w:color="000000"/>
            </w:tcBorders>
            <w:shd w:val="clear" w:color="auto" w:fill="EFEFEF"/>
          </w:tcPr>
          <w:p w14:paraId="00000089"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Economic Justice</w:t>
            </w:r>
          </w:p>
        </w:tc>
        <w:tc>
          <w:tcPr>
            <w:tcW w:w="1585" w:type="pct"/>
            <w:tcBorders>
              <w:top w:val="nil"/>
              <w:left w:val="nil"/>
              <w:bottom w:val="single" w:sz="4" w:space="0" w:color="000000"/>
              <w:right w:val="single" w:sz="4" w:space="0" w:color="000000"/>
            </w:tcBorders>
            <w:shd w:val="clear" w:color="auto" w:fill="auto"/>
          </w:tcPr>
          <w:p w14:paraId="0000008A" w14:textId="77777777" w:rsidR="00247B95" w:rsidRPr="00B10EF6" w:rsidRDefault="005D04B8" w:rsidP="00B10EF6">
            <w:pPr>
              <w:rPr>
                <w:rFonts w:ascii="Times New Roman" w:eastAsia="Arial" w:hAnsi="Times New Roman" w:cs="Times New Roman"/>
                <w:i/>
                <w:color w:val="auto"/>
                <w:sz w:val="20"/>
                <w:szCs w:val="20"/>
              </w:rPr>
            </w:pPr>
            <w:r w:rsidRPr="00B10EF6">
              <w:rPr>
                <w:rFonts w:ascii="Times New Roman" w:eastAsia="Arial" w:hAnsi="Times New Roman" w:cs="Times New Roman"/>
                <w:i/>
                <w:color w:val="auto"/>
                <w:sz w:val="20"/>
                <w:szCs w:val="20"/>
              </w:rPr>
              <w:t>Fair treatment of workers; Inclusion; Treatment with respect; Values influence development decisions.</w:t>
            </w:r>
          </w:p>
        </w:tc>
        <w:tc>
          <w:tcPr>
            <w:tcW w:w="2822" w:type="pct"/>
            <w:tcBorders>
              <w:top w:val="nil"/>
              <w:left w:val="nil"/>
              <w:bottom w:val="single" w:sz="4" w:space="0" w:color="000000"/>
              <w:right w:val="single" w:sz="4" w:space="0" w:color="000000"/>
            </w:tcBorders>
            <w:shd w:val="clear" w:color="auto" w:fill="auto"/>
          </w:tcPr>
          <w:p w14:paraId="0000008B"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At the bare minimum, an equitable building shall not exacerbate income inequality. An equitable building will introduce jobs to the local economy as much and as appropriate as possible. Training and job shadowing should be offered to provide meaningful jobs and encourage long-term careers.</w:t>
            </w:r>
          </w:p>
        </w:tc>
      </w:tr>
      <w:tr w:rsidR="0068688F" w:rsidRPr="00B8594A" w14:paraId="0FFB95CB" w14:textId="77777777" w:rsidTr="00B10EF6">
        <w:trPr>
          <w:trHeight w:val="1061"/>
        </w:trPr>
        <w:tc>
          <w:tcPr>
            <w:tcW w:w="592" w:type="pct"/>
            <w:tcBorders>
              <w:top w:val="single" w:sz="4" w:space="0" w:color="000000"/>
              <w:left w:val="single" w:sz="4" w:space="0" w:color="000000"/>
              <w:bottom w:val="single" w:sz="4" w:space="0" w:color="000000"/>
              <w:right w:val="single" w:sz="4" w:space="0" w:color="000000"/>
            </w:tcBorders>
            <w:shd w:val="clear" w:color="auto" w:fill="EFEFEF"/>
          </w:tcPr>
          <w:p w14:paraId="0000008C"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Define and Track Equity</w:t>
            </w:r>
          </w:p>
        </w:tc>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0000008D" w14:textId="77777777" w:rsidR="00247B95" w:rsidRPr="00B10EF6" w:rsidRDefault="005D04B8" w:rsidP="00B10EF6">
            <w:pPr>
              <w:rPr>
                <w:rFonts w:ascii="Times New Roman" w:eastAsia="Arial" w:hAnsi="Times New Roman" w:cs="Times New Roman"/>
                <w:i/>
                <w:color w:val="auto"/>
                <w:sz w:val="20"/>
                <w:szCs w:val="20"/>
              </w:rPr>
            </w:pPr>
            <w:r w:rsidRPr="00B10EF6">
              <w:rPr>
                <w:rFonts w:ascii="Times New Roman" w:eastAsia="Arial" w:hAnsi="Times New Roman" w:cs="Times New Roman"/>
                <w:i/>
                <w:color w:val="auto"/>
                <w:sz w:val="20"/>
                <w:szCs w:val="20"/>
              </w:rPr>
              <w:t>Define and track equity</w:t>
            </w:r>
          </w:p>
        </w:tc>
        <w:tc>
          <w:tcPr>
            <w:tcW w:w="2822" w:type="pct"/>
            <w:tcBorders>
              <w:top w:val="single" w:sz="4" w:space="0" w:color="000000"/>
              <w:left w:val="single" w:sz="4" w:space="0" w:color="000000"/>
              <w:bottom w:val="single" w:sz="4" w:space="0" w:color="000000"/>
              <w:right w:val="single" w:sz="4" w:space="0" w:color="000000"/>
            </w:tcBorders>
            <w:shd w:val="clear" w:color="auto" w:fill="auto"/>
          </w:tcPr>
          <w:p w14:paraId="0000008E"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There must be a clear definition of equity with examples of what is considered equitable and metrics that are then tracked.  Binding language that uses terms such as "must", "shall", and "will" must be used in place of terms such as "should" or "maybe". Accessible language will be used when detailing the metrics and measures of success. </w:t>
            </w:r>
          </w:p>
        </w:tc>
      </w:tr>
    </w:tbl>
    <w:p w14:paraId="229455E6" w14:textId="77777777" w:rsidR="00F7617C" w:rsidRDefault="00F7617C" w:rsidP="00B8594A">
      <w:pPr>
        <w:pBdr>
          <w:top w:val="nil"/>
          <w:left w:val="nil"/>
          <w:bottom w:val="nil"/>
          <w:right w:val="nil"/>
          <w:between w:val="nil"/>
        </w:pBdr>
        <w:spacing w:after="0"/>
        <w:rPr>
          <w:rFonts w:ascii="Times New Roman" w:eastAsia="Georgia" w:hAnsi="Times New Roman" w:cs="Times New Roman"/>
          <w:b/>
          <w:color w:val="auto"/>
          <w:sz w:val="26"/>
          <w:szCs w:val="26"/>
        </w:rPr>
        <w:sectPr w:rsidR="00F7617C" w:rsidSect="0079220F">
          <w:headerReference w:type="default" r:id="rId13"/>
          <w:headerReference w:type="first" r:id="rId14"/>
          <w:footerReference w:type="first" r:id="rId15"/>
          <w:pgSz w:w="15840" w:h="12240" w:orient="landscape"/>
          <w:pgMar w:top="720" w:right="720" w:bottom="720" w:left="720" w:header="432" w:footer="360" w:gutter="0"/>
          <w:cols w:space="720"/>
          <w:docGrid w:linePitch="245"/>
        </w:sectPr>
      </w:pPr>
      <w:bookmarkStart w:id="0" w:name="_heading=h.30j0zll" w:colFirst="0" w:colLast="0"/>
      <w:bookmarkEnd w:id="0"/>
    </w:p>
    <w:p w14:paraId="00000091" w14:textId="7C019B27" w:rsidR="00247B95" w:rsidRPr="00B10EF6" w:rsidRDefault="00B10EF6" w:rsidP="00B8594A">
      <w:pPr>
        <w:pBdr>
          <w:top w:val="nil"/>
          <w:left w:val="nil"/>
          <w:bottom w:val="nil"/>
          <w:right w:val="nil"/>
          <w:between w:val="nil"/>
        </w:pBdr>
        <w:spacing w:after="0"/>
        <w:rPr>
          <w:rFonts w:ascii="Times New Roman" w:eastAsia="Georgia" w:hAnsi="Times New Roman" w:cs="Times New Roman"/>
          <w:b/>
          <w:color w:val="auto"/>
          <w:sz w:val="26"/>
          <w:szCs w:val="26"/>
        </w:rPr>
      </w:pPr>
      <w:r w:rsidRPr="00B10EF6">
        <w:rPr>
          <w:rFonts w:ascii="Times New Roman" w:eastAsia="Georgia" w:hAnsi="Times New Roman" w:cs="Times New Roman"/>
          <w:b/>
          <w:color w:val="auto"/>
          <w:sz w:val="26"/>
          <w:szCs w:val="26"/>
        </w:rPr>
        <w:lastRenderedPageBreak/>
        <w:t>Examples of the Equity Fundamentals</w:t>
      </w:r>
    </w:p>
    <w:p w14:paraId="27BE4545" w14:textId="77777777" w:rsidR="00B8594A" w:rsidRPr="0079220F" w:rsidRDefault="00B8594A" w:rsidP="00B8594A">
      <w:pPr>
        <w:pBdr>
          <w:top w:val="nil"/>
          <w:left w:val="nil"/>
          <w:bottom w:val="nil"/>
          <w:right w:val="nil"/>
          <w:between w:val="nil"/>
        </w:pBdr>
        <w:spacing w:after="0"/>
        <w:rPr>
          <w:rFonts w:ascii="Times New Roman" w:eastAsia="Arial" w:hAnsi="Times New Roman" w:cs="Times New Roman"/>
          <w:color w:val="auto"/>
          <w:sz w:val="10"/>
          <w:szCs w:val="10"/>
        </w:rPr>
      </w:pPr>
    </w:p>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4554"/>
        <w:gridCol w:w="3475"/>
        <w:gridCol w:w="4835"/>
      </w:tblGrid>
      <w:tr w:rsidR="00B10EF6" w:rsidRPr="00B8594A" w14:paraId="41AE561A" w14:textId="77777777" w:rsidTr="00B10EF6">
        <w:trPr>
          <w:trHeight w:val="701"/>
          <w:jc w:val="center"/>
        </w:trPr>
        <w:tc>
          <w:tcPr>
            <w:tcW w:w="530" w:type="pct"/>
            <w:tcBorders>
              <w:top w:val="single" w:sz="4" w:space="0" w:color="000000"/>
              <w:left w:val="single" w:sz="4" w:space="0" w:color="000000"/>
              <w:bottom w:val="single" w:sz="4" w:space="0" w:color="000000"/>
              <w:right w:val="single" w:sz="4" w:space="0" w:color="000000"/>
            </w:tcBorders>
            <w:shd w:val="clear" w:color="auto" w:fill="DEEBF6"/>
          </w:tcPr>
          <w:p w14:paraId="00000092" w14:textId="5D9B3878" w:rsidR="00247B95" w:rsidRPr="00B8594A" w:rsidRDefault="0079220F" w:rsidP="00B10EF6">
            <w:pPr>
              <w:rPr>
                <w:rFonts w:ascii="Times New Roman" w:eastAsia="Arial" w:hAnsi="Times New Roman" w:cs="Times New Roman"/>
                <w:i/>
                <w:color w:val="auto"/>
                <w:sz w:val="22"/>
                <w:szCs w:val="22"/>
              </w:rPr>
            </w:pPr>
            <w:r w:rsidRPr="00B8594A">
              <w:rPr>
                <w:rFonts w:ascii="Times New Roman" w:eastAsia="Arial" w:hAnsi="Times New Roman" w:cs="Times New Roman"/>
                <w:i/>
                <w:color w:val="auto"/>
                <w:sz w:val="22"/>
                <w:szCs w:val="22"/>
              </w:rPr>
              <w:t>Equity Fundamentals</w:t>
            </w:r>
          </w:p>
        </w:tc>
        <w:tc>
          <w:tcPr>
            <w:tcW w:w="1582" w:type="pct"/>
            <w:tcBorders>
              <w:top w:val="single" w:sz="4" w:space="0" w:color="000000"/>
              <w:left w:val="nil"/>
              <w:bottom w:val="single" w:sz="4" w:space="0" w:color="000000"/>
              <w:right w:val="single" w:sz="4" w:space="0" w:color="000000"/>
            </w:tcBorders>
            <w:shd w:val="clear" w:color="auto" w:fill="DEEBF6"/>
          </w:tcPr>
          <w:p w14:paraId="00000093" w14:textId="77777777" w:rsidR="00247B95" w:rsidRPr="00B8594A" w:rsidRDefault="005D04B8" w:rsidP="00B10EF6">
            <w:pPr>
              <w:rPr>
                <w:rFonts w:ascii="Times New Roman" w:eastAsia="Arial" w:hAnsi="Times New Roman" w:cs="Times New Roman"/>
                <w:i/>
                <w:color w:val="auto"/>
                <w:sz w:val="22"/>
                <w:szCs w:val="22"/>
              </w:rPr>
            </w:pPr>
            <w:r w:rsidRPr="00B8594A">
              <w:rPr>
                <w:rFonts w:ascii="Times New Roman" w:eastAsia="Arial" w:hAnsi="Times New Roman" w:cs="Times New Roman"/>
                <w:i/>
                <w:color w:val="auto"/>
                <w:sz w:val="22"/>
                <w:szCs w:val="22"/>
              </w:rPr>
              <w:t>Example #1</w:t>
            </w:r>
          </w:p>
        </w:tc>
        <w:tc>
          <w:tcPr>
            <w:tcW w:w="1207" w:type="pct"/>
            <w:tcBorders>
              <w:top w:val="single" w:sz="4" w:space="0" w:color="000000"/>
              <w:left w:val="nil"/>
              <w:bottom w:val="single" w:sz="4" w:space="0" w:color="000000"/>
              <w:right w:val="single" w:sz="4" w:space="0" w:color="000000"/>
            </w:tcBorders>
            <w:shd w:val="clear" w:color="auto" w:fill="DEEBF6"/>
          </w:tcPr>
          <w:p w14:paraId="00000096" w14:textId="77777777" w:rsidR="00247B95" w:rsidRPr="00B8594A" w:rsidRDefault="005D04B8" w:rsidP="00B10EF6">
            <w:pPr>
              <w:rPr>
                <w:rFonts w:ascii="Times New Roman" w:eastAsia="Arial" w:hAnsi="Times New Roman" w:cs="Times New Roman"/>
                <w:i/>
                <w:color w:val="auto"/>
                <w:sz w:val="22"/>
                <w:szCs w:val="22"/>
              </w:rPr>
            </w:pPr>
            <w:r w:rsidRPr="00B8594A">
              <w:rPr>
                <w:rFonts w:ascii="Times New Roman" w:eastAsia="Arial" w:hAnsi="Times New Roman" w:cs="Times New Roman"/>
                <w:i/>
                <w:color w:val="auto"/>
                <w:sz w:val="22"/>
                <w:szCs w:val="22"/>
              </w:rPr>
              <w:t>Example #2</w:t>
            </w:r>
          </w:p>
          <w:p w14:paraId="00000097" w14:textId="77777777" w:rsidR="00247B95" w:rsidRPr="00B8594A" w:rsidRDefault="00247B95" w:rsidP="00B10EF6">
            <w:pPr>
              <w:rPr>
                <w:rFonts w:ascii="Times New Roman" w:eastAsia="Arial" w:hAnsi="Times New Roman" w:cs="Times New Roman"/>
                <w:i/>
                <w:color w:val="auto"/>
                <w:sz w:val="22"/>
                <w:szCs w:val="22"/>
              </w:rPr>
            </w:pPr>
          </w:p>
        </w:tc>
        <w:tc>
          <w:tcPr>
            <w:tcW w:w="1680" w:type="pct"/>
            <w:tcBorders>
              <w:top w:val="single" w:sz="4" w:space="0" w:color="000000"/>
              <w:left w:val="nil"/>
              <w:bottom w:val="single" w:sz="4" w:space="0" w:color="000000"/>
              <w:right w:val="single" w:sz="4" w:space="0" w:color="000000"/>
            </w:tcBorders>
            <w:shd w:val="clear" w:color="auto" w:fill="DEEBF6"/>
          </w:tcPr>
          <w:p w14:paraId="0000009A" w14:textId="77777777" w:rsidR="00247B95" w:rsidRPr="00B8594A" w:rsidRDefault="005D04B8" w:rsidP="00B10EF6">
            <w:pPr>
              <w:rPr>
                <w:rFonts w:ascii="Times New Roman" w:eastAsia="Arial" w:hAnsi="Times New Roman" w:cs="Times New Roman"/>
                <w:i/>
                <w:color w:val="auto"/>
                <w:sz w:val="22"/>
                <w:szCs w:val="22"/>
              </w:rPr>
            </w:pPr>
            <w:r w:rsidRPr="00B8594A">
              <w:rPr>
                <w:rFonts w:ascii="Times New Roman" w:eastAsia="Arial" w:hAnsi="Times New Roman" w:cs="Times New Roman"/>
                <w:i/>
                <w:color w:val="auto"/>
                <w:sz w:val="22"/>
                <w:szCs w:val="22"/>
              </w:rPr>
              <w:t>Example #3</w:t>
            </w:r>
          </w:p>
          <w:p w14:paraId="0000009B" w14:textId="77777777" w:rsidR="00247B95" w:rsidRPr="00B8594A" w:rsidRDefault="00247B95" w:rsidP="00B10EF6">
            <w:pPr>
              <w:rPr>
                <w:rFonts w:ascii="Times New Roman" w:eastAsia="Arial" w:hAnsi="Times New Roman" w:cs="Times New Roman"/>
                <w:i/>
                <w:color w:val="auto"/>
                <w:sz w:val="22"/>
                <w:szCs w:val="22"/>
              </w:rPr>
            </w:pPr>
          </w:p>
        </w:tc>
      </w:tr>
      <w:tr w:rsidR="00B10EF6" w:rsidRPr="00B8594A" w14:paraId="5829F69D" w14:textId="77777777" w:rsidTr="00B10EF6">
        <w:trPr>
          <w:trHeight w:val="1705"/>
          <w:jc w:val="center"/>
        </w:trPr>
        <w:tc>
          <w:tcPr>
            <w:tcW w:w="530" w:type="pct"/>
            <w:tcBorders>
              <w:top w:val="nil"/>
              <w:left w:val="single" w:sz="4" w:space="0" w:color="000000"/>
              <w:bottom w:val="single" w:sz="4" w:space="0" w:color="000000"/>
              <w:right w:val="single" w:sz="4" w:space="0" w:color="000000"/>
            </w:tcBorders>
            <w:shd w:val="clear" w:color="auto" w:fill="EFEFEF"/>
          </w:tcPr>
          <w:p w14:paraId="0000009C"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Culture: A Right to Belong</w:t>
            </w:r>
          </w:p>
        </w:tc>
        <w:tc>
          <w:tcPr>
            <w:tcW w:w="1582" w:type="pct"/>
            <w:tcBorders>
              <w:top w:val="nil"/>
              <w:left w:val="nil"/>
              <w:bottom w:val="single" w:sz="4" w:space="0" w:color="000000"/>
              <w:right w:val="single" w:sz="4" w:space="0" w:color="000000"/>
            </w:tcBorders>
            <w:shd w:val="clear" w:color="auto" w:fill="auto"/>
          </w:tcPr>
          <w:p w14:paraId="0000009D"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Ever the Land movie about </w:t>
            </w:r>
            <w:proofErr w:type="spellStart"/>
            <w:r w:rsidRPr="00B10EF6">
              <w:rPr>
                <w:rFonts w:ascii="Times New Roman" w:eastAsia="Arial" w:hAnsi="Times New Roman" w:cs="Times New Roman"/>
                <w:color w:val="auto"/>
                <w:sz w:val="20"/>
                <w:szCs w:val="20"/>
              </w:rPr>
              <w:t>Te</w:t>
            </w:r>
            <w:proofErr w:type="spellEnd"/>
            <w:r w:rsidRPr="00B10EF6">
              <w:rPr>
                <w:rFonts w:ascii="Times New Roman" w:eastAsia="Arial" w:hAnsi="Times New Roman" w:cs="Times New Roman"/>
                <w:color w:val="auto"/>
                <w:sz w:val="20"/>
                <w:szCs w:val="20"/>
              </w:rPr>
              <w:t xml:space="preserve"> Kura </w:t>
            </w:r>
            <w:proofErr w:type="spellStart"/>
            <w:r w:rsidRPr="00B10EF6">
              <w:rPr>
                <w:rFonts w:ascii="Times New Roman" w:eastAsia="Arial" w:hAnsi="Times New Roman" w:cs="Times New Roman"/>
                <w:color w:val="auto"/>
                <w:sz w:val="20"/>
                <w:szCs w:val="20"/>
              </w:rPr>
              <w:t>Whare</w:t>
            </w:r>
            <w:proofErr w:type="spellEnd"/>
            <w:r w:rsidRPr="00B10EF6">
              <w:rPr>
                <w:rFonts w:ascii="Times New Roman" w:eastAsia="Arial" w:hAnsi="Times New Roman" w:cs="Times New Roman"/>
                <w:color w:val="auto"/>
                <w:sz w:val="20"/>
                <w:szCs w:val="20"/>
              </w:rPr>
              <w:t xml:space="preserve">: The </w:t>
            </w:r>
            <w:proofErr w:type="spellStart"/>
            <w:r w:rsidRPr="00B10EF6">
              <w:rPr>
                <w:rFonts w:ascii="Times New Roman" w:eastAsia="Arial" w:hAnsi="Times New Roman" w:cs="Times New Roman"/>
                <w:color w:val="auto"/>
                <w:sz w:val="20"/>
                <w:szCs w:val="20"/>
              </w:rPr>
              <w:t>Tūhoe</w:t>
            </w:r>
            <w:proofErr w:type="spellEnd"/>
            <w:r w:rsidRPr="00B10EF6">
              <w:rPr>
                <w:rFonts w:ascii="Times New Roman" w:eastAsia="Arial" w:hAnsi="Times New Roman" w:cs="Times New Roman"/>
                <w:color w:val="auto"/>
                <w:sz w:val="20"/>
                <w:szCs w:val="20"/>
              </w:rPr>
              <w:t xml:space="preserve"> people take pride in their relationship with Mother Nature. The distinctive arch at the entrance to the Tribal Chamber of the Living Building simulates the flight path of </w:t>
            </w:r>
            <w:proofErr w:type="spellStart"/>
            <w:r w:rsidRPr="00B10EF6">
              <w:rPr>
                <w:rFonts w:ascii="Times New Roman" w:eastAsia="Arial" w:hAnsi="Times New Roman" w:cs="Times New Roman"/>
                <w:color w:val="auto"/>
                <w:sz w:val="20"/>
                <w:szCs w:val="20"/>
              </w:rPr>
              <w:t>Tama</w:t>
            </w:r>
            <w:proofErr w:type="spellEnd"/>
            <w:r w:rsidRPr="00B10EF6">
              <w:rPr>
                <w:rFonts w:ascii="Times New Roman" w:eastAsia="Arial" w:hAnsi="Times New Roman" w:cs="Times New Roman"/>
                <w:color w:val="auto"/>
                <w:sz w:val="20"/>
                <w:szCs w:val="20"/>
              </w:rPr>
              <w:t>-</w:t>
            </w:r>
            <w:proofErr w:type="spellStart"/>
            <w:r w:rsidRPr="00B10EF6">
              <w:rPr>
                <w:rFonts w:ascii="Times New Roman" w:eastAsia="Arial" w:hAnsi="Times New Roman" w:cs="Times New Roman"/>
                <w:color w:val="auto"/>
                <w:sz w:val="20"/>
                <w:szCs w:val="20"/>
              </w:rPr>
              <w:t>nui</w:t>
            </w:r>
            <w:proofErr w:type="spellEnd"/>
            <w:r w:rsidRPr="00B10EF6">
              <w:rPr>
                <w:rFonts w:ascii="Times New Roman" w:eastAsia="Arial" w:hAnsi="Times New Roman" w:cs="Times New Roman"/>
                <w:color w:val="auto"/>
                <w:sz w:val="20"/>
                <w:szCs w:val="20"/>
              </w:rPr>
              <w:t>-</w:t>
            </w:r>
            <w:proofErr w:type="spellStart"/>
            <w:r w:rsidRPr="00B10EF6">
              <w:rPr>
                <w:rFonts w:ascii="Times New Roman" w:eastAsia="Arial" w:hAnsi="Times New Roman" w:cs="Times New Roman"/>
                <w:color w:val="auto"/>
                <w:sz w:val="20"/>
                <w:szCs w:val="20"/>
              </w:rPr>
              <w:t>te</w:t>
            </w:r>
            <w:proofErr w:type="spellEnd"/>
            <w:r w:rsidRPr="00B10EF6">
              <w:rPr>
                <w:rFonts w:ascii="Times New Roman" w:eastAsia="Arial" w:hAnsi="Times New Roman" w:cs="Times New Roman"/>
                <w:color w:val="auto"/>
                <w:sz w:val="20"/>
                <w:szCs w:val="20"/>
              </w:rPr>
              <w:t xml:space="preserve">-ra (sun) across the sky, from east to west. The entrance is also highly acclaimed for its openness – it is meant to feel welcoming and inspiring to all its visitors. Natural logs serve as posts, beams, and trusses, emulating the forest and reflecting on the vital role that trees play in the wellbeing of </w:t>
            </w:r>
            <w:proofErr w:type="spellStart"/>
            <w:r w:rsidRPr="00B10EF6">
              <w:rPr>
                <w:rFonts w:ascii="Times New Roman" w:eastAsia="Arial" w:hAnsi="Times New Roman" w:cs="Times New Roman"/>
                <w:color w:val="auto"/>
                <w:sz w:val="20"/>
                <w:szCs w:val="20"/>
              </w:rPr>
              <w:t>Tūhoe</w:t>
            </w:r>
            <w:proofErr w:type="spellEnd"/>
            <w:r w:rsidRPr="00B10EF6">
              <w:rPr>
                <w:rFonts w:ascii="Times New Roman" w:eastAsia="Arial" w:hAnsi="Times New Roman" w:cs="Times New Roman"/>
                <w:color w:val="auto"/>
                <w:sz w:val="20"/>
                <w:szCs w:val="20"/>
              </w:rPr>
              <w:t xml:space="preserve"> people. 1) </w:t>
            </w:r>
            <w:hyperlink r:id="rId16">
              <w:r w:rsidRPr="00B10EF6">
                <w:rPr>
                  <w:rFonts w:ascii="Times New Roman" w:eastAsia="Arial" w:hAnsi="Times New Roman" w:cs="Times New Roman"/>
                  <w:color w:val="auto"/>
                  <w:sz w:val="20"/>
                  <w:szCs w:val="20"/>
                </w:rPr>
                <w:t>https://serve-learn-sustain.gatech.edu/ever-land-living-building-documentary-guided-reflection</w:t>
              </w:r>
            </w:hyperlink>
          </w:p>
          <w:p w14:paraId="0000009E"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 and 2) </w:t>
            </w:r>
            <w:hyperlink r:id="rId17">
              <w:r w:rsidRPr="00B10EF6">
                <w:rPr>
                  <w:rFonts w:ascii="Times New Roman" w:eastAsia="Arial" w:hAnsi="Times New Roman" w:cs="Times New Roman"/>
                  <w:color w:val="auto"/>
                  <w:sz w:val="20"/>
                  <w:szCs w:val="20"/>
                </w:rPr>
                <w:t>https://living-future.org/biophilic/case-studies/te-kura-whare/</w:t>
              </w:r>
            </w:hyperlink>
          </w:p>
          <w:p w14:paraId="0000009F" w14:textId="77777777" w:rsidR="00247B95" w:rsidRPr="00B10EF6" w:rsidRDefault="00247B95" w:rsidP="00B10EF6">
            <w:pPr>
              <w:rPr>
                <w:rFonts w:ascii="Times New Roman" w:eastAsia="Arial" w:hAnsi="Times New Roman" w:cs="Times New Roman"/>
                <w:color w:val="auto"/>
                <w:sz w:val="20"/>
                <w:szCs w:val="20"/>
              </w:rPr>
            </w:pPr>
          </w:p>
        </w:tc>
        <w:tc>
          <w:tcPr>
            <w:tcW w:w="1207" w:type="pct"/>
            <w:tcBorders>
              <w:top w:val="nil"/>
              <w:left w:val="nil"/>
              <w:bottom w:val="single" w:sz="4" w:space="0" w:color="000000"/>
              <w:right w:val="single" w:sz="4" w:space="0" w:color="000000"/>
            </w:tcBorders>
          </w:tcPr>
          <w:p w14:paraId="000000A1" w14:textId="77777777" w:rsidR="00247B95" w:rsidRPr="00B10EF6" w:rsidRDefault="00DE7B74" w:rsidP="00B10EF6">
            <w:pPr>
              <w:rPr>
                <w:rFonts w:ascii="Times New Roman" w:eastAsia="Arial" w:hAnsi="Times New Roman" w:cs="Times New Roman"/>
                <w:color w:val="auto"/>
                <w:sz w:val="20"/>
                <w:szCs w:val="20"/>
              </w:rPr>
            </w:pPr>
            <w:hyperlink r:id="rId18">
              <w:r w:rsidR="005D04B8" w:rsidRPr="00B10EF6">
                <w:rPr>
                  <w:rFonts w:ascii="Times New Roman" w:eastAsia="Arial" w:hAnsi="Times New Roman" w:cs="Times New Roman"/>
                  <w:color w:val="auto"/>
                  <w:sz w:val="20"/>
                  <w:szCs w:val="20"/>
                </w:rPr>
                <w:t xml:space="preserve">NCCHR: The curvature of the walls of the National Center of Civil and Human Rights was inspired by the driving force of change: protests. It was "an evolution of the idea of interlocking arms." </w:t>
              </w:r>
            </w:hyperlink>
            <w:hyperlink r:id="rId19">
              <w:r w:rsidR="005D04B8" w:rsidRPr="00B10EF6">
                <w:rPr>
                  <w:rFonts w:ascii="Times New Roman" w:eastAsia="Arial" w:hAnsi="Times New Roman" w:cs="Times New Roman"/>
                  <w:color w:val="auto"/>
                  <w:sz w:val="20"/>
                  <w:szCs w:val="20"/>
                </w:rPr>
                <w:t>https://www.civilandhumanrights.org/</w:t>
              </w:r>
            </w:hyperlink>
          </w:p>
          <w:p w14:paraId="000000A2" w14:textId="77777777" w:rsidR="00247B95" w:rsidRPr="00B10EF6" w:rsidRDefault="00247B95" w:rsidP="00B10EF6">
            <w:pPr>
              <w:rPr>
                <w:rFonts w:ascii="Times New Roman" w:eastAsia="Arial" w:hAnsi="Times New Roman" w:cs="Times New Roman"/>
                <w:color w:val="auto"/>
                <w:sz w:val="20"/>
                <w:szCs w:val="20"/>
              </w:rPr>
            </w:pPr>
          </w:p>
        </w:tc>
        <w:tc>
          <w:tcPr>
            <w:tcW w:w="1680" w:type="pct"/>
            <w:tcBorders>
              <w:top w:val="nil"/>
              <w:left w:val="nil"/>
              <w:bottom w:val="single" w:sz="4" w:space="0" w:color="000000"/>
              <w:right w:val="single" w:sz="4" w:space="0" w:color="000000"/>
            </w:tcBorders>
          </w:tcPr>
          <w:p w14:paraId="000000A4" w14:textId="77777777" w:rsidR="00247B95" w:rsidRPr="00B10EF6" w:rsidRDefault="00DE7B74" w:rsidP="00B10EF6">
            <w:pPr>
              <w:rPr>
                <w:rFonts w:ascii="Times New Roman" w:eastAsia="Arial" w:hAnsi="Times New Roman" w:cs="Times New Roman"/>
                <w:color w:val="auto"/>
                <w:sz w:val="20"/>
                <w:szCs w:val="20"/>
              </w:rPr>
            </w:pPr>
            <w:hyperlink r:id="rId20">
              <w:r w:rsidR="005D04B8" w:rsidRPr="00B10EF6">
                <w:rPr>
                  <w:rFonts w:ascii="Times New Roman" w:eastAsia="Arial" w:hAnsi="Times New Roman" w:cs="Times New Roman"/>
                  <w:color w:val="auto"/>
                  <w:sz w:val="20"/>
                  <w:szCs w:val="20"/>
                </w:rPr>
                <w:t xml:space="preserve">"America's Cities Were Designed to Oppress" explains how it can be dangerous to implement models of strict community vigilance such as those encouraged by Crime Prevention Through Environmental Design (CPTED) because they can facilitate discrimination against black people for being "suspicious." "America's Cities Were Designed to Oppress" explains how it can be dangerous to implement models of strict community vigilance such as those encouraged by Crime Prevention Through Environmental Design (CPTED) because they can facilitate discrimination against black people for being "suspicious." "The problem is when you are black in this country, you live daily with the heavy weight of the world’s distrust on your shoulders." </w:t>
              </w:r>
              <w:r w:rsidR="005D04B8" w:rsidRPr="00B10EF6">
                <w:rPr>
                  <w:rFonts w:ascii="Times New Roman" w:eastAsia="Arial" w:hAnsi="Times New Roman" w:cs="Times New Roman"/>
                  <w:color w:val="auto"/>
                  <w:sz w:val="20"/>
                  <w:szCs w:val="20"/>
                </w:rPr>
                <w:br/>
              </w:r>
            </w:hyperlink>
            <w:hyperlink r:id="rId21">
              <w:r w:rsidR="005D04B8" w:rsidRPr="00B10EF6">
                <w:rPr>
                  <w:rFonts w:ascii="Times New Roman" w:eastAsia="Arial" w:hAnsi="Times New Roman" w:cs="Times New Roman"/>
                  <w:color w:val="auto"/>
                  <w:sz w:val="20"/>
                  <w:szCs w:val="20"/>
                </w:rPr>
                <w:t>https://www.bloomberg.com/news/articles/2020-06-03/how-to-design-justice-into-america-s-cities</w:t>
              </w:r>
            </w:hyperlink>
          </w:p>
          <w:p w14:paraId="000000A5" w14:textId="77777777" w:rsidR="00247B95" w:rsidRPr="00B10EF6" w:rsidRDefault="00247B95" w:rsidP="00B10EF6">
            <w:pPr>
              <w:rPr>
                <w:rFonts w:ascii="Times New Roman" w:eastAsia="Arial" w:hAnsi="Times New Roman" w:cs="Times New Roman"/>
                <w:color w:val="auto"/>
                <w:sz w:val="20"/>
                <w:szCs w:val="20"/>
              </w:rPr>
            </w:pPr>
          </w:p>
        </w:tc>
      </w:tr>
      <w:tr w:rsidR="00B10EF6" w:rsidRPr="00B8594A" w14:paraId="5CE6D6B3" w14:textId="77777777" w:rsidTr="00B10EF6">
        <w:trPr>
          <w:trHeight w:val="3320"/>
          <w:jc w:val="center"/>
        </w:trPr>
        <w:tc>
          <w:tcPr>
            <w:tcW w:w="530" w:type="pct"/>
            <w:tcBorders>
              <w:top w:val="single" w:sz="4" w:space="0" w:color="000000"/>
              <w:left w:val="single" w:sz="4" w:space="0" w:color="000000"/>
              <w:bottom w:val="single" w:sz="4" w:space="0" w:color="000000"/>
              <w:right w:val="single" w:sz="4" w:space="0" w:color="000000"/>
            </w:tcBorders>
            <w:shd w:val="clear" w:color="auto" w:fill="EFEFEF"/>
          </w:tcPr>
          <w:p w14:paraId="000000A6"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Community Engagement</w:t>
            </w: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000000A7" w14:textId="77777777" w:rsidR="00247B95" w:rsidRPr="00B10EF6" w:rsidRDefault="00DE7B74" w:rsidP="00B10EF6">
            <w:pPr>
              <w:rPr>
                <w:rFonts w:ascii="Times New Roman" w:eastAsia="Arial" w:hAnsi="Times New Roman" w:cs="Times New Roman"/>
                <w:color w:val="auto"/>
                <w:sz w:val="20"/>
                <w:szCs w:val="20"/>
              </w:rPr>
            </w:pPr>
            <w:hyperlink r:id="rId22">
              <w:r w:rsidR="005D04B8" w:rsidRPr="00B10EF6">
                <w:rPr>
                  <w:rFonts w:ascii="Times New Roman" w:eastAsia="Arial" w:hAnsi="Times New Roman" w:cs="Times New Roman"/>
                  <w:color w:val="auto"/>
                  <w:sz w:val="20"/>
                  <w:szCs w:val="20"/>
                </w:rPr>
                <w:t xml:space="preserve">The Living Building Challenge, through the requirement that two major project team organizations that must attain a JUST label, includes workforce development/training/community benefit agreements, registered apprentice programs, or similar programs.  </w:t>
              </w:r>
            </w:hyperlink>
            <w:hyperlink r:id="rId23">
              <w:r w:rsidR="005D04B8" w:rsidRPr="00B10EF6">
                <w:rPr>
                  <w:rFonts w:ascii="Times New Roman" w:eastAsia="Arial" w:hAnsi="Times New Roman" w:cs="Times New Roman"/>
                  <w:color w:val="auto"/>
                  <w:sz w:val="20"/>
                  <w:szCs w:val="20"/>
                </w:rPr>
                <w:t>https://living-future.org/just/</w:t>
              </w:r>
            </w:hyperlink>
          </w:p>
        </w:tc>
        <w:tc>
          <w:tcPr>
            <w:tcW w:w="1207" w:type="pct"/>
            <w:tcBorders>
              <w:top w:val="single" w:sz="4" w:space="0" w:color="000000"/>
              <w:left w:val="single" w:sz="4" w:space="0" w:color="000000"/>
              <w:bottom w:val="single" w:sz="4" w:space="0" w:color="000000"/>
              <w:right w:val="single" w:sz="4" w:space="0" w:color="000000"/>
            </w:tcBorders>
          </w:tcPr>
          <w:p w14:paraId="000000A9"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NAACP Community Engagement Guidelines: There are a lot of frameworks and theoretical guidance and not enough clear implementation best practices created by and for people typically excluded from the process of design and development. This resource, the first of three we intend to publish, is written for community members, residents, tenants, and neighbors to get equipped. </w:t>
            </w:r>
            <w:hyperlink r:id="rId24">
              <w:r w:rsidRPr="00B10EF6">
                <w:rPr>
                  <w:rFonts w:ascii="Times New Roman" w:eastAsia="Arial" w:hAnsi="Times New Roman" w:cs="Times New Roman"/>
                  <w:color w:val="auto"/>
                  <w:sz w:val="20"/>
                  <w:szCs w:val="20"/>
                </w:rPr>
                <w:t>https://docs.google.com/document/d/17lhe4T-U-hEAYOnkLqNM6GxpoqZtU98DMvkLp2ugB5o/edit</w:t>
              </w:r>
            </w:hyperlink>
          </w:p>
        </w:tc>
        <w:tc>
          <w:tcPr>
            <w:tcW w:w="1680" w:type="pct"/>
            <w:tcBorders>
              <w:top w:val="single" w:sz="4" w:space="0" w:color="000000"/>
              <w:left w:val="single" w:sz="4" w:space="0" w:color="000000"/>
              <w:bottom w:val="single" w:sz="4" w:space="0" w:color="000000"/>
              <w:right w:val="single" w:sz="4" w:space="0" w:color="000000"/>
            </w:tcBorders>
          </w:tcPr>
          <w:p w14:paraId="000000AB"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The documentary does a great job of explaining how there can sometimes be a narrative of "them" vs. "us" - they also discuss how important it was for the architect (Ivan </w:t>
            </w:r>
            <w:proofErr w:type="spellStart"/>
            <w:r w:rsidRPr="00B10EF6">
              <w:rPr>
                <w:rFonts w:ascii="Times New Roman" w:eastAsia="Arial" w:hAnsi="Times New Roman" w:cs="Times New Roman"/>
                <w:color w:val="auto"/>
                <w:sz w:val="20"/>
                <w:szCs w:val="20"/>
              </w:rPr>
              <w:t>Mercep</w:t>
            </w:r>
            <w:proofErr w:type="spellEnd"/>
            <w:r w:rsidRPr="00B10EF6">
              <w:rPr>
                <w:rFonts w:ascii="Times New Roman" w:eastAsia="Arial" w:hAnsi="Times New Roman" w:cs="Times New Roman"/>
                <w:color w:val="auto"/>
                <w:sz w:val="20"/>
                <w:szCs w:val="20"/>
              </w:rPr>
              <w:t>) to first ask the community for their design preferences before even having one of his own. https://www.nzonscreen.com/title/ever-the-land-2015</w:t>
            </w:r>
          </w:p>
          <w:p w14:paraId="000000AC" w14:textId="77777777" w:rsidR="00247B95" w:rsidRPr="00B10EF6" w:rsidRDefault="00247B95" w:rsidP="00B10EF6">
            <w:pPr>
              <w:rPr>
                <w:rFonts w:ascii="Times New Roman" w:eastAsia="Arial" w:hAnsi="Times New Roman" w:cs="Times New Roman"/>
                <w:color w:val="auto"/>
                <w:sz w:val="20"/>
                <w:szCs w:val="20"/>
              </w:rPr>
            </w:pPr>
          </w:p>
        </w:tc>
      </w:tr>
      <w:tr w:rsidR="00B10EF6" w:rsidRPr="00B8594A" w14:paraId="1EC77FEC" w14:textId="77777777" w:rsidTr="00B10EF6">
        <w:trPr>
          <w:trHeight w:val="2132"/>
          <w:jc w:val="center"/>
        </w:trPr>
        <w:tc>
          <w:tcPr>
            <w:tcW w:w="530" w:type="pct"/>
            <w:tcBorders>
              <w:top w:val="single" w:sz="4" w:space="0" w:color="000000"/>
              <w:left w:val="single" w:sz="4" w:space="0" w:color="000000"/>
              <w:bottom w:val="single" w:sz="4" w:space="0" w:color="000000"/>
              <w:right w:val="single" w:sz="4" w:space="0" w:color="000000"/>
            </w:tcBorders>
            <w:shd w:val="clear" w:color="auto" w:fill="EFEFEF"/>
          </w:tcPr>
          <w:p w14:paraId="000000AD"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lastRenderedPageBreak/>
              <w:t>Enhance the Local Environment</w:t>
            </w:r>
          </w:p>
        </w:tc>
        <w:tc>
          <w:tcPr>
            <w:tcW w:w="1582" w:type="pct"/>
            <w:tcBorders>
              <w:top w:val="single" w:sz="4" w:space="0" w:color="000000"/>
              <w:left w:val="nil"/>
              <w:bottom w:val="single" w:sz="4" w:space="0" w:color="000000"/>
              <w:right w:val="single" w:sz="4" w:space="0" w:color="000000"/>
            </w:tcBorders>
            <w:shd w:val="clear" w:color="auto" w:fill="auto"/>
          </w:tcPr>
          <w:p w14:paraId="000000AE" w14:textId="2789EDDF" w:rsidR="00247B95" w:rsidRPr="00B10EF6" w:rsidRDefault="00DE7B74" w:rsidP="00B10EF6">
            <w:pPr>
              <w:rPr>
                <w:rFonts w:ascii="Times New Roman" w:eastAsia="Arial" w:hAnsi="Times New Roman" w:cs="Times New Roman"/>
                <w:color w:val="auto"/>
                <w:sz w:val="20"/>
                <w:szCs w:val="20"/>
              </w:rPr>
            </w:pPr>
            <w:hyperlink r:id="rId25">
              <w:r w:rsidR="005D04B8" w:rsidRPr="00B10EF6">
                <w:rPr>
                  <w:rFonts w:ascii="Times New Roman" w:eastAsia="Arial" w:hAnsi="Times New Roman" w:cs="Times New Roman"/>
                  <w:color w:val="auto"/>
                  <w:sz w:val="20"/>
                  <w:szCs w:val="20"/>
                </w:rPr>
                <w:t>Inclusion by Design - page 8: People living in disadvantaged areas</w:t>
              </w:r>
              <w:r w:rsidR="00B10EF6" w:rsidRPr="00B10EF6">
                <w:rPr>
                  <w:rFonts w:ascii="Times New Roman" w:eastAsia="Arial" w:hAnsi="Times New Roman" w:cs="Times New Roman"/>
                  <w:color w:val="auto"/>
                  <w:sz w:val="20"/>
                  <w:szCs w:val="20"/>
                </w:rPr>
                <w:t xml:space="preserve"> </w:t>
              </w:r>
              <w:r w:rsidR="005D04B8" w:rsidRPr="00B10EF6">
                <w:rPr>
                  <w:rFonts w:ascii="Times New Roman" w:eastAsia="Arial" w:hAnsi="Times New Roman" w:cs="Times New Roman"/>
                  <w:color w:val="auto"/>
                  <w:sz w:val="20"/>
                  <w:szCs w:val="20"/>
                </w:rPr>
                <w:t>are more likely to suffer the impacts</w:t>
              </w:r>
              <w:r w:rsidR="00B10EF6" w:rsidRPr="00B10EF6">
                <w:rPr>
                  <w:rFonts w:ascii="Times New Roman" w:eastAsia="Arial" w:hAnsi="Times New Roman" w:cs="Times New Roman"/>
                  <w:color w:val="auto"/>
                  <w:sz w:val="20"/>
                  <w:szCs w:val="20"/>
                </w:rPr>
                <w:t xml:space="preserve"> </w:t>
              </w:r>
              <w:r w:rsidR="005D04B8" w:rsidRPr="00B10EF6">
                <w:rPr>
                  <w:rFonts w:ascii="Times New Roman" w:eastAsia="Arial" w:hAnsi="Times New Roman" w:cs="Times New Roman"/>
                  <w:color w:val="auto"/>
                  <w:sz w:val="20"/>
                  <w:szCs w:val="20"/>
                </w:rPr>
                <w:t>from high traffic volume, with its</w:t>
              </w:r>
              <w:r w:rsidR="005D04B8" w:rsidRPr="00B10EF6">
                <w:rPr>
                  <w:rFonts w:ascii="Times New Roman" w:eastAsia="Arial" w:hAnsi="Times New Roman" w:cs="Times New Roman"/>
                  <w:color w:val="auto"/>
                  <w:sz w:val="20"/>
                  <w:szCs w:val="20"/>
                </w:rPr>
                <w:br/>
                <w:t>associated noise, disturbance</w:t>
              </w:r>
              <w:r w:rsidR="00B10EF6" w:rsidRPr="00B10EF6">
                <w:rPr>
                  <w:rFonts w:ascii="Times New Roman" w:eastAsia="Arial" w:hAnsi="Times New Roman" w:cs="Times New Roman"/>
                  <w:color w:val="auto"/>
                  <w:sz w:val="20"/>
                  <w:szCs w:val="20"/>
                </w:rPr>
                <w:t xml:space="preserve"> </w:t>
              </w:r>
              <w:r w:rsidR="005D04B8" w:rsidRPr="00B10EF6">
                <w:rPr>
                  <w:rFonts w:ascii="Times New Roman" w:eastAsia="Arial" w:hAnsi="Times New Roman" w:cs="Times New Roman"/>
                  <w:color w:val="auto"/>
                  <w:sz w:val="20"/>
                  <w:szCs w:val="20"/>
                </w:rPr>
                <w:t>and poor air quality, and a greater</w:t>
              </w:r>
              <w:r w:rsidR="00B10EF6" w:rsidRPr="00B10EF6">
                <w:rPr>
                  <w:rFonts w:ascii="Times New Roman" w:eastAsia="Arial" w:hAnsi="Times New Roman" w:cs="Times New Roman"/>
                  <w:color w:val="auto"/>
                  <w:sz w:val="20"/>
                  <w:szCs w:val="20"/>
                </w:rPr>
                <w:t xml:space="preserve"> </w:t>
              </w:r>
              <w:r w:rsidR="005D04B8" w:rsidRPr="00B10EF6">
                <w:rPr>
                  <w:rFonts w:ascii="Times New Roman" w:eastAsia="Arial" w:hAnsi="Times New Roman" w:cs="Times New Roman"/>
                  <w:color w:val="auto"/>
                  <w:sz w:val="20"/>
                  <w:szCs w:val="20"/>
                </w:rPr>
                <w:t>likelihood of being killed or injured</w:t>
              </w:r>
              <w:r w:rsidR="005D04B8" w:rsidRPr="00B10EF6">
                <w:rPr>
                  <w:rFonts w:ascii="Times New Roman" w:eastAsia="Arial" w:hAnsi="Times New Roman" w:cs="Times New Roman"/>
                  <w:color w:val="auto"/>
                  <w:sz w:val="20"/>
                  <w:szCs w:val="20"/>
                </w:rPr>
                <w:br/>
                <w:t xml:space="preserve">on the road. </w:t>
              </w:r>
            </w:hyperlink>
            <w:hyperlink r:id="rId26">
              <w:r w:rsidR="005D04B8" w:rsidRPr="00B10EF6">
                <w:rPr>
                  <w:rFonts w:ascii="Times New Roman" w:eastAsia="Arial" w:hAnsi="Times New Roman" w:cs="Times New Roman"/>
                  <w:color w:val="auto"/>
                  <w:sz w:val="20"/>
                  <w:szCs w:val="20"/>
                </w:rPr>
                <w:t>https://www.designcouncil.org.uk/sites/default/files/asset/document/inclusion-by-design.pdf</w:t>
              </w:r>
            </w:hyperlink>
          </w:p>
          <w:p w14:paraId="000000AF" w14:textId="77777777" w:rsidR="00247B95" w:rsidRPr="00B10EF6" w:rsidRDefault="00247B95" w:rsidP="00B10EF6">
            <w:pPr>
              <w:rPr>
                <w:rFonts w:ascii="Times New Roman" w:eastAsia="Arial" w:hAnsi="Times New Roman" w:cs="Times New Roman"/>
                <w:color w:val="auto"/>
                <w:sz w:val="20"/>
                <w:szCs w:val="20"/>
              </w:rPr>
            </w:pPr>
          </w:p>
        </w:tc>
        <w:tc>
          <w:tcPr>
            <w:tcW w:w="1207" w:type="pct"/>
            <w:tcBorders>
              <w:top w:val="single" w:sz="4" w:space="0" w:color="000000"/>
              <w:left w:val="nil"/>
              <w:bottom w:val="single" w:sz="4" w:space="0" w:color="000000"/>
              <w:right w:val="single" w:sz="4" w:space="0" w:color="000000"/>
            </w:tcBorders>
          </w:tcPr>
          <w:p w14:paraId="000000B1" w14:textId="77777777" w:rsidR="00247B95" w:rsidRPr="00B10EF6" w:rsidRDefault="00DE7B74" w:rsidP="00B10EF6">
            <w:pPr>
              <w:rPr>
                <w:rFonts w:ascii="Times New Roman" w:eastAsia="Arial" w:hAnsi="Times New Roman" w:cs="Times New Roman"/>
                <w:color w:val="auto"/>
                <w:sz w:val="20"/>
                <w:szCs w:val="20"/>
              </w:rPr>
            </w:pPr>
            <w:hyperlink r:id="rId27">
              <w:r w:rsidR="005D04B8" w:rsidRPr="00B10EF6">
                <w:rPr>
                  <w:rFonts w:ascii="Times New Roman" w:eastAsia="Arial" w:hAnsi="Times New Roman" w:cs="Times New Roman"/>
                  <w:color w:val="auto"/>
                  <w:sz w:val="20"/>
                  <w:szCs w:val="20"/>
                </w:rPr>
                <w:t xml:space="preserve">June Key Delta Community Center (great grassroots example, very environmentally sustainable and mindful of location) - transformed from a gas station; uses rainfall. </w:t>
              </w:r>
            </w:hyperlink>
            <w:hyperlink r:id="rId28">
              <w:r w:rsidR="005D04B8" w:rsidRPr="00B10EF6">
                <w:rPr>
                  <w:rFonts w:ascii="Times New Roman" w:eastAsia="Arial" w:hAnsi="Times New Roman" w:cs="Times New Roman"/>
                  <w:color w:val="auto"/>
                  <w:sz w:val="20"/>
                  <w:szCs w:val="20"/>
                </w:rPr>
                <w:t>https://www.portlanddeltas.org/jkdcc</w:t>
              </w:r>
            </w:hyperlink>
          </w:p>
          <w:p w14:paraId="000000B2" w14:textId="77777777" w:rsidR="00247B95" w:rsidRPr="00B10EF6" w:rsidRDefault="00247B95" w:rsidP="00B10EF6">
            <w:pPr>
              <w:rPr>
                <w:rFonts w:ascii="Times New Roman" w:eastAsia="Arial" w:hAnsi="Times New Roman" w:cs="Times New Roman"/>
                <w:color w:val="auto"/>
                <w:sz w:val="20"/>
                <w:szCs w:val="20"/>
              </w:rPr>
            </w:pPr>
          </w:p>
        </w:tc>
        <w:tc>
          <w:tcPr>
            <w:tcW w:w="1680" w:type="pct"/>
            <w:tcBorders>
              <w:top w:val="single" w:sz="4" w:space="0" w:color="000000"/>
              <w:left w:val="nil"/>
              <w:bottom w:val="single" w:sz="4" w:space="0" w:color="000000"/>
              <w:right w:val="single" w:sz="4" w:space="0" w:color="000000"/>
            </w:tcBorders>
          </w:tcPr>
          <w:p w14:paraId="000000B4"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ICA </w:t>
            </w:r>
            <w:proofErr w:type="spellStart"/>
            <w:r w:rsidRPr="00B10EF6">
              <w:rPr>
                <w:rFonts w:ascii="Times New Roman" w:eastAsia="Arial" w:hAnsi="Times New Roman" w:cs="Times New Roman"/>
                <w:color w:val="auto"/>
                <w:sz w:val="20"/>
                <w:szCs w:val="20"/>
              </w:rPr>
              <w:t>Greenrise</w:t>
            </w:r>
            <w:proofErr w:type="spellEnd"/>
            <w:r w:rsidRPr="00B10EF6">
              <w:rPr>
                <w:rFonts w:ascii="Times New Roman" w:eastAsia="Arial" w:hAnsi="Times New Roman" w:cs="Times New Roman"/>
                <w:color w:val="auto"/>
                <w:sz w:val="20"/>
                <w:szCs w:val="20"/>
              </w:rPr>
              <w:t xml:space="preserve"> Building: Also known as the "ICA </w:t>
            </w:r>
            <w:proofErr w:type="spellStart"/>
            <w:r w:rsidRPr="00B10EF6">
              <w:rPr>
                <w:rFonts w:ascii="Times New Roman" w:eastAsia="Arial" w:hAnsi="Times New Roman" w:cs="Times New Roman"/>
                <w:color w:val="auto"/>
                <w:sz w:val="20"/>
                <w:szCs w:val="20"/>
              </w:rPr>
              <w:t>GreenRise</w:t>
            </w:r>
            <w:proofErr w:type="spellEnd"/>
            <w:r w:rsidRPr="00B10EF6">
              <w:rPr>
                <w:rFonts w:ascii="Times New Roman" w:eastAsia="Arial" w:hAnsi="Times New Roman" w:cs="Times New Roman"/>
                <w:color w:val="auto"/>
                <w:sz w:val="20"/>
                <w:szCs w:val="20"/>
              </w:rPr>
              <w:t xml:space="preserve"> Uptown Learning Laboratory”, the building demonstrates a creative culture for living and working among its diverse tenants, of nonprofits and 7th floor residents, while establishing an energy efficient eco-system that aims to take the entire building </w:t>
            </w:r>
            <w:proofErr w:type="gramStart"/>
            <w:r w:rsidRPr="00B10EF6">
              <w:rPr>
                <w:rFonts w:ascii="Times New Roman" w:eastAsia="Arial" w:hAnsi="Times New Roman" w:cs="Times New Roman"/>
                <w:color w:val="auto"/>
                <w:sz w:val="20"/>
                <w:szCs w:val="20"/>
              </w:rPr>
              <w:t>off of</w:t>
            </w:r>
            <w:proofErr w:type="gramEnd"/>
            <w:r w:rsidRPr="00B10EF6">
              <w:rPr>
                <w:rFonts w:ascii="Times New Roman" w:eastAsia="Arial" w:hAnsi="Times New Roman" w:cs="Times New Roman"/>
                <w:color w:val="auto"/>
                <w:sz w:val="20"/>
                <w:szCs w:val="20"/>
              </w:rPr>
              <w:t xml:space="preserve"> the grid. https://www.ica-usa.org/greenrise.html</w:t>
            </w:r>
          </w:p>
          <w:p w14:paraId="000000B5" w14:textId="77777777" w:rsidR="00247B95" w:rsidRPr="00B10EF6" w:rsidRDefault="00247B95" w:rsidP="00B10EF6">
            <w:pPr>
              <w:rPr>
                <w:rFonts w:ascii="Times New Roman" w:eastAsia="Arial" w:hAnsi="Times New Roman" w:cs="Times New Roman"/>
                <w:color w:val="auto"/>
                <w:sz w:val="20"/>
                <w:szCs w:val="20"/>
              </w:rPr>
            </w:pPr>
          </w:p>
        </w:tc>
      </w:tr>
      <w:tr w:rsidR="00B10EF6" w:rsidRPr="00B8594A" w14:paraId="668353FA" w14:textId="77777777" w:rsidTr="00B10EF6">
        <w:trPr>
          <w:trHeight w:val="1340"/>
          <w:jc w:val="center"/>
        </w:trPr>
        <w:tc>
          <w:tcPr>
            <w:tcW w:w="530" w:type="pct"/>
            <w:tcBorders>
              <w:top w:val="single" w:sz="4" w:space="0" w:color="000000"/>
              <w:left w:val="single" w:sz="4" w:space="0" w:color="000000"/>
              <w:bottom w:val="single" w:sz="4" w:space="0" w:color="000000"/>
              <w:right w:val="single" w:sz="4" w:space="0" w:color="000000"/>
            </w:tcBorders>
            <w:shd w:val="clear" w:color="auto" w:fill="EFEFEF"/>
          </w:tcPr>
          <w:p w14:paraId="000000B6"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Economic Justice</w:t>
            </w: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000000B7" w14:textId="77777777" w:rsidR="00247B95" w:rsidRPr="00B10EF6" w:rsidRDefault="00DE7B74" w:rsidP="00B10EF6">
            <w:pPr>
              <w:rPr>
                <w:rFonts w:ascii="Times New Roman" w:eastAsia="Arial" w:hAnsi="Times New Roman" w:cs="Times New Roman"/>
                <w:color w:val="auto"/>
                <w:sz w:val="20"/>
                <w:szCs w:val="20"/>
              </w:rPr>
            </w:pPr>
            <w:hyperlink r:id="rId29">
              <w:r w:rsidR="005D04B8" w:rsidRPr="00B10EF6">
                <w:rPr>
                  <w:rFonts w:ascii="Times New Roman" w:eastAsia="Arial" w:hAnsi="Times New Roman" w:cs="Times New Roman"/>
                  <w:color w:val="auto"/>
                  <w:sz w:val="20"/>
                  <w:szCs w:val="20"/>
                </w:rPr>
                <w:t xml:space="preserve">Ever the Land movie about Te Kura Whare (case study draft complete): Some Tuhoe tribe members that worked on Te Kura Whare continued to work in the construction industry well after their work on the building. </w:t>
              </w:r>
            </w:hyperlink>
            <w:hyperlink r:id="rId30">
              <w:r w:rsidR="005D04B8" w:rsidRPr="00B10EF6">
                <w:rPr>
                  <w:rFonts w:ascii="Times New Roman" w:eastAsia="Arial" w:hAnsi="Times New Roman" w:cs="Times New Roman"/>
                  <w:color w:val="auto"/>
                  <w:sz w:val="20"/>
                  <w:szCs w:val="20"/>
                </w:rPr>
                <w:t>https://www.nzonscreen.com/title/ever-the-land-2015</w:t>
              </w:r>
            </w:hyperlink>
          </w:p>
        </w:tc>
        <w:tc>
          <w:tcPr>
            <w:tcW w:w="1207" w:type="pct"/>
            <w:tcBorders>
              <w:top w:val="single" w:sz="4" w:space="0" w:color="000000"/>
              <w:left w:val="single" w:sz="4" w:space="0" w:color="000000"/>
              <w:bottom w:val="single" w:sz="4" w:space="0" w:color="000000"/>
              <w:right w:val="single" w:sz="4" w:space="0" w:color="000000"/>
            </w:tcBorders>
          </w:tcPr>
          <w:p w14:paraId="000000B9" w14:textId="77777777" w:rsidR="00247B95" w:rsidRPr="00B10EF6" w:rsidRDefault="00DE7B74" w:rsidP="00B10EF6">
            <w:pPr>
              <w:rPr>
                <w:rFonts w:ascii="Times New Roman" w:eastAsia="Arial" w:hAnsi="Times New Roman" w:cs="Times New Roman"/>
                <w:color w:val="auto"/>
                <w:sz w:val="20"/>
                <w:szCs w:val="20"/>
              </w:rPr>
            </w:pPr>
            <w:hyperlink r:id="rId31">
              <w:r w:rsidR="005D04B8" w:rsidRPr="00B10EF6">
                <w:rPr>
                  <w:rFonts w:ascii="Times New Roman" w:eastAsia="Arial" w:hAnsi="Times New Roman" w:cs="Times New Roman"/>
                  <w:color w:val="auto"/>
                  <w:sz w:val="20"/>
                  <w:szCs w:val="20"/>
                </w:rPr>
                <w:t xml:space="preserve">Growing Change (an example of flipping prisons) offers plenty of training and learning opportunities for things such as business, farming, aquaponics, vermiculture, etc. </w:t>
              </w:r>
            </w:hyperlink>
            <w:hyperlink r:id="rId32">
              <w:r w:rsidR="005D04B8" w:rsidRPr="00B10EF6">
                <w:rPr>
                  <w:rFonts w:ascii="Times New Roman" w:eastAsia="Arial" w:hAnsi="Times New Roman" w:cs="Times New Roman"/>
                  <w:color w:val="auto"/>
                  <w:sz w:val="20"/>
                  <w:szCs w:val="20"/>
                </w:rPr>
                <w:t>http://www.growingchange.org/</w:t>
              </w:r>
            </w:hyperlink>
          </w:p>
          <w:p w14:paraId="000000BA" w14:textId="77777777" w:rsidR="00247B95" w:rsidRPr="00B10EF6" w:rsidRDefault="00247B95" w:rsidP="00B10EF6">
            <w:pPr>
              <w:rPr>
                <w:rFonts w:ascii="Times New Roman" w:eastAsia="Arial" w:hAnsi="Times New Roman" w:cs="Times New Roman"/>
                <w:color w:val="auto"/>
                <w:sz w:val="20"/>
                <w:szCs w:val="20"/>
              </w:rPr>
            </w:pPr>
          </w:p>
        </w:tc>
        <w:tc>
          <w:tcPr>
            <w:tcW w:w="1680" w:type="pct"/>
            <w:tcBorders>
              <w:top w:val="single" w:sz="4" w:space="0" w:color="000000"/>
              <w:left w:val="single" w:sz="4" w:space="0" w:color="000000"/>
              <w:bottom w:val="single" w:sz="4" w:space="0" w:color="000000"/>
              <w:right w:val="single" w:sz="4" w:space="0" w:color="000000"/>
            </w:tcBorders>
          </w:tcPr>
          <w:p w14:paraId="000000BC" w14:textId="77777777" w:rsidR="00247B95" w:rsidRPr="00B10EF6" w:rsidRDefault="00DE7B74" w:rsidP="00B10EF6">
            <w:pPr>
              <w:rPr>
                <w:rFonts w:ascii="Times New Roman" w:eastAsia="Arial" w:hAnsi="Times New Roman" w:cs="Times New Roman"/>
                <w:color w:val="auto"/>
                <w:sz w:val="20"/>
                <w:szCs w:val="20"/>
              </w:rPr>
            </w:pPr>
            <w:hyperlink r:id="rId33">
              <w:r w:rsidR="005D04B8" w:rsidRPr="00B10EF6">
                <w:rPr>
                  <w:rFonts w:ascii="Times New Roman" w:eastAsia="Arial" w:hAnsi="Times New Roman" w:cs="Times New Roman"/>
                  <w:color w:val="auto"/>
                  <w:sz w:val="20"/>
                  <w:szCs w:val="20"/>
                </w:rPr>
                <w:t>King County Sustainable Infrastructure</w:t>
              </w:r>
              <w:r w:rsidR="005D04B8" w:rsidRPr="00B10EF6">
                <w:rPr>
                  <w:rFonts w:ascii="Times New Roman" w:eastAsia="Arial" w:hAnsi="Times New Roman" w:cs="Times New Roman"/>
                  <w:color w:val="auto"/>
                  <w:sz w:val="20"/>
                  <w:szCs w:val="20"/>
                </w:rPr>
                <w:br/>
                <w:t xml:space="preserve">Scorecard offers a credit for "advancing econmic justice" which could include a project labor agreement </w:t>
              </w:r>
            </w:hyperlink>
            <w:hyperlink r:id="rId34">
              <w:r w:rsidR="005D04B8" w:rsidRPr="00B10EF6">
                <w:rPr>
                  <w:rFonts w:ascii="Times New Roman" w:eastAsia="Arial" w:hAnsi="Times New Roman" w:cs="Times New Roman"/>
                  <w:color w:val="auto"/>
                  <w:sz w:val="20"/>
                  <w:szCs w:val="20"/>
                </w:rPr>
                <w:t>https://www.kingcounty.gov/about/policies/executive/peraeo/per131aeo.aspx</w:t>
              </w:r>
            </w:hyperlink>
          </w:p>
          <w:p w14:paraId="000000BD" w14:textId="77777777" w:rsidR="00247B95" w:rsidRPr="00B10EF6" w:rsidRDefault="00247B95" w:rsidP="00B10EF6">
            <w:pPr>
              <w:rPr>
                <w:rFonts w:ascii="Times New Roman" w:eastAsia="Arial" w:hAnsi="Times New Roman" w:cs="Times New Roman"/>
                <w:color w:val="auto"/>
                <w:sz w:val="20"/>
                <w:szCs w:val="20"/>
              </w:rPr>
            </w:pPr>
          </w:p>
        </w:tc>
      </w:tr>
      <w:tr w:rsidR="00B10EF6" w:rsidRPr="00B8594A" w14:paraId="57399674" w14:textId="77777777" w:rsidTr="00B10EF6">
        <w:trPr>
          <w:trHeight w:val="1421"/>
          <w:jc w:val="center"/>
        </w:trPr>
        <w:tc>
          <w:tcPr>
            <w:tcW w:w="530" w:type="pct"/>
            <w:tcBorders>
              <w:top w:val="single" w:sz="4" w:space="0" w:color="000000"/>
              <w:left w:val="single" w:sz="4" w:space="0" w:color="000000"/>
              <w:bottom w:val="single" w:sz="4" w:space="0" w:color="000000"/>
              <w:right w:val="single" w:sz="4" w:space="0" w:color="000000"/>
            </w:tcBorders>
            <w:shd w:val="clear" w:color="auto" w:fill="EFEFEF"/>
          </w:tcPr>
          <w:p w14:paraId="000000BE" w14:textId="77777777" w:rsidR="00247B95" w:rsidRPr="00B8594A" w:rsidRDefault="005D04B8" w:rsidP="00B10EF6">
            <w:pPr>
              <w:rPr>
                <w:rFonts w:ascii="Times New Roman" w:eastAsia="Arial" w:hAnsi="Times New Roman" w:cs="Times New Roman"/>
                <w:b/>
                <w:color w:val="auto"/>
                <w:sz w:val="22"/>
                <w:szCs w:val="22"/>
              </w:rPr>
            </w:pPr>
            <w:r w:rsidRPr="00B8594A">
              <w:rPr>
                <w:rFonts w:ascii="Times New Roman" w:eastAsia="Arial" w:hAnsi="Times New Roman" w:cs="Times New Roman"/>
                <w:b/>
                <w:color w:val="auto"/>
                <w:sz w:val="22"/>
                <w:szCs w:val="22"/>
              </w:rPr>
              <w:t>Define and Track Equity</w:t>
            </w:r>
          </w:p>
        </w:tc>
        <w:tc>
          <w:tcPr>
            <w:tcW w:w="1582" w:type="pct"/>
            <w:tcBorders>
              <w:top w:val="single" w:sz="4" w:space="0" w:color="000000"/>
              <w:left w:val="nil"/>
              <w:bottom w:val="single" w:sz="4" w:space="0" w:color="000000"/>
              <w:right w:val="single" w:sz="4" w:space="0" w:color="000000"/>
            </w:tcBorders>
            <w:shd w:val="clear" w:color="auto" w:fill="auto"/>
          </w:tcPr>
          <w:p w14:paraId="000000BF" w14:textId="77777777" w:rsidR="00247B95" w:rsidRPr="00B10EF6" w:rsidRDefault="00DE7B74" w:rsidP="00B10EF6">
            <w:pPr>
              <w:rPr>
                <w:rFonts w:ascii="Times New Roman" w:eastAsia="Arial" w:hAnsi="Times New Roman" w:cs="Times New Roman"/>
                <w:color w:val="auto"/>
                <w:sz w:val="20"/>
                <w:szCs w:val="20"/>
              </w:rPr>
            </w:pPr>
            <w:hyperlink r:id="rId35">
              <w:r w:rsidR="005D04B8" w:rsidRPr="00B10EF6">
                <w:rPr>
                  <w:rFonts w:ascii="Times New Roman" w:eastAsia="Arial" w:hAnsi="Times New Roman" w:cs="Times New Roman"/>
                  <w:color w:val="auto"/>
                  <w:sz w:val="20"/>
                  <w:szCs w:val="20"/>
                </w:rPr>
                <w:t xml:space="preserve">NAACP Getting Beyond Green Report: This is a strong recommendation - but the NAACP is also still working to define what equity means vis-a-vis sustainable buildings. </w:t>
              </w:r>
            </w:hyperlink>
            <w:hyperlink r:id="rId36">
              <w:r w:rsidR="005D04B8" w:rsidRPr="00B10EF6">
                <w:rPr>
                  <w:rFonts w:ascii="Times New Roman" w:eastAsia="Arial" w:hAnsi="Times New Roman" w:cs="Times New Roman"/>
                  <w:color w:val="auto"/>
                  <w:sz w:val="20"/>
                  <w:szCs w:val="20"/>
                </w:rPr>
                <w:t>https://naacp.org/wp-content/uploads/2020/04/CESBS-Equity-Baseline-for-Building-Standards_July-2019.pdf</w:t>
              </w:r>
            </w:hyperlink>
          </w:p>
        </w:tc>
        <w:tc>
          <w:tcPr>
            <w:tcW w:w="1207" w:type="pct"/>
            <w:tcBorders>
              <w:top w:val="single" w:sz="4" w:space="0" w:color="000000"/>
              <w:left w:val="nil"/>
              <w:bottom w:val="single" w:sz="4" w:space="0" w:color="000000"/>
              <w:right w:val="single" w:sz="4" w:space="0" w:color="000000"/>
            </w:tcBorders>
          </w:tcPr>
          <w:p w14:paraId="000000C1"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Equity Impact Review tool is a value-focused and data-driven process review tool. Its purpose is to ensure that equity impacts are rigorously and holistically considered and advanced in the design and implementation of the proposed action (plan/policy/program development, operations modification, capital programs/projects, etc.) </w:t>
            </w:r>
            <w:hyperlink r:id="rId37">
              <w:r w:rsidRPr="00B10EF6">
                <w:rPr>
                  <w:rFonts w:ascii="Times New Roman" w:eastAsia="Arial" w:hAnsi="Times New Roman" w:cs="Times New Roman"/>
                  <w:color w:val="auto"/>
                  <w:sz w:val="20"/>
                  <w:szCs w:val="20"/>
                  <w:u w:val="single"/>
                </w:rPr>
                <w:t>https://www.kingcounty.gov/elected/executive/equity-social-justice/tools-resources.aspx</w:t>
              </w:r>
            </w:hyperlink>
          </w:p>
        </w:tc>
        <w:tc>
          <w:tcPr>
            <w:tcW w:w="1680" w:type="pct"/>
            <w:tcBorders>
              <w:top w:val="single" w:sz="4" w:space="0" w:color="000000"/>
              <w:left w:val="nil"/>
              <w:bottom w:val="single" w:sz="4" w:space="0" w:color="000000"/>
              <w:right w:val="single" w:sz="4" w:space="0" w:color="000000"/>
            </w:tcBorders>
          </w:tcPr>
          <w:p w14:paraId="000000C3" w14:textId="77777777" w:rsidR="00247B95" w:rsidRPr="00B10EF6" w:rsidRDefault="005D04B8" w:rsidP="00B10EF6">
            <w:pPr>
              <w:rPr>
                <w:rFonts w:ascii="Times New Roman" w:eastAsia="Arial" w:hAnsi="Times New Roman" w:cs="Times New Roman"/>
                <w:color w:val="auto"/>
                <w:sz w:val="20"/>
                <w:szCs w:val="20"/>
              </w:rPr>
            </w:pPr>
            <w:r w:rsidRPr="00B10EF6">
              <w:rPr>
                <w:rFonts w:ascii="Times New Roman" w:eastAsia="Arial" w:hAnsi="Times New Roman" w:cs="Times New Roman"/>
                <w:color w:val="auto"/>
                <w:sz w:val="20"/>
                <w:szCs w:val="20"/>
              </w:rPr>
              <w:t xml:space="preserve">LBC Equity Petal lists several requirements that projects must meet </w:t>
            </w:r>
            <w:proofErr w:type="gramStart"/>
            <w:r w:rsidRPr="00B10EF6">
              <w:rPr>
                <w:rFonts w:ascii="Times New Roman" w:eastAsia="Arial" w:hAnsi="Times New Roman" w:cs="Times New Roman"/>
                <w:color w:val="auto"/>
                <w:sz w:val="20"/>
                <w:szCs w:val="20"/>
              </w:rPr>
              <w:t>in order to</w:t>
            </w:r>
            <w:proofErr w:type="gramEnd"/>
            <w:r w:rsidRPr="00B10EF6">
              <w:rPr>
                <w:rFonts w:ascii="Times New Roman" w:eastAsia="Arial" w:hAnsi="Times New Roman" w:cs="Times New Roman"/>
                <w:color w:val="auto"/>
                <w:sz w:val="20"/>
                <w:szCs w:val="20"/>
              </w:rPr>
              <w:t xml:space="preserve"> </w:t>
            </w:r>
            <w:proofErr w:type="spellStart"/>
            <w:r w:rsidRPr="00B10EF6">
              <w:rPr>
                <w:rFonts w:ascii="Times New Roman" w:eastAsia="Arial" w:hAnsi="Times New Roman" w:cs="Times New Roman"/>
                <w:color w:val="auto"/>
                <w:sz w:val="20"/>
                <w:szCs w:val="20"/>
              </w:rPr>
              <w:t>satisy</w:t>
            </w:r>
            <w:proofErr w:type="spellEnd"/>
            <w:r w:rsidRPr="00B10EF6">
              <w:rPr>
                <w:rFonts w:ascii="Times New Roman" w:eastAsia="Arial" w:hAnsi="Times New Roman" w:cs="Times New Roman"/>
                <w:color w:val="auto"/>
                <w:sz w:val="20"/>
                <w:szCs w:val="20"/>
              </w:rPr>
              <w:t xml:space="preserve"> the equity petal. Here, equity is not given a single definition but rather a few different options for defining equity </w:t>
            </w:r>
            <w:proofErr w:type="gramStart"/>
            <w:r w:rsidRPr="00B10EF6">
              <w:rPr>
                <w:rFonts w:ascii="Times New Roman" w:eastAsia="Arial" w:hAnsi="Times New Roman" w:cs="Times New Roman"/>
                <w:color w:val="auto"/>
                <w:sz w:val="20"/>
                <w:szCs w:val="20"/>
              </w:rPr>
              <w:t>in order to</w:t>
            </w:r>
            <w:proofErr w:type="gramEnd"/>
            <w:r w:rsidRPr="00B10EF6">
              <w:rPr>
                <w:rFonts w:ascii="Times New Roman" w:eastAsia="Arial" w:hAnsi="Times New Roman" w:cs="Times New Roman"/>
                <w:color w:val="auto"/>
                <w:sz w:val="20"/>
                <w:szCs w:val="20"/>
              </w:rPr>
              <w:t xml:space="preserve"> fulfill the intent of equity in a way that best suits the development site.  https://living-future.org/lbc-3_1/equity-petal/</w:t>
            </w:r>
          </w:p>
          <w:p w14:paraId="000000C4" w14:textId="77777777" w:rsidR="00247B95" w:rsidRPr="00B10EF6" w:rsidRDefault="00247B95" w:rsidP="00B10EF6">
            <w:pPr>
              <w:rPr>
                <w:rFonts w:ascii="Times New Roman" w:eastAsia="Arial" w:hAnsi="Times New Roman" w:cs="Times New Roman"/>
                <w:color w:val="auto"/>
                <w:sz w:val="20"/>
                <w:szCs w:val="20"/>
              </w:rPr>
            </w:pPr>
          </w:p>
        </w:tc>
      </w:tr>
    </w:tbl>
    <w:p w14:paraId="000000C5" w14:textId="77777777" w:rsidR="00247B95" w:rsidRPr="00B8594A" w:rsidRDefault="00247B95" w:rsidP="0068688F">
      <w:pPr>
        <w:pBdr>
          <w:top w:val="nil"/>
          <w:left w:val="nil"/>
          <w:bottom w:val="nil"/>
          <w:right w:val="nil"/>
          <w:between w:val="nil"/>
        </w:pBdr>
        <w:spacing w:after="0"/>
        <w:jc w:val="center"/>
        <w:rPr>
          <w:rFonts w:ascii="Times New Roman" w:eastAsia="Arial" w:hAnsi="Times New Roman" w:cs="Times New Roman"/>
          <w:b/>
          <w:color w:val="auto"/>
          <w:sz w:val="22"/>
          <w:szCs w:val="22"/>
        </w:rPr>
      </w:pPr>
    </w:p>
    <w:p w14:paraId="09468E2F" w14:textId="77777777" w:rsidR="003935DF" w:rsidRPr="00B8594A" w:rsidRDefault="003935DF" w:rsidP="0068688F">
      <w:pPr>
        <w:spacing w:after="0"/>
        <w:rPr>
          <w:rFonts w:ascii="Times New Roman" w:eastAsia="Georgia" w:hAnsi="Times New Roman" w:cs="Times New Roman"/>
          <w:b/>
          <w:color w:val="auto"/>
          <w:sz w:val="22"/>
          <w:szCs w:val="22"/>
        </w:rPr>
        <w:sectPr w:rsidR="003935DF" w:rsidRPr="00B8594A" w:rsidSect="0079220F">
          <w:headerReference w:type="default" r:id="rId38"/>
          <w:pgSz w:w="15840" w:h="12240" w:orient="landscape"/>
          <w:pgMar w:top="720" w:right="720" w:bottom="720" w:left="720" w:header="432" w:footer="360" w:gutter="0"/>
          <w:cols w:space="720"/>
          <w:docGrid w:linePitch="245"/>
        </w:sectPr>
      </w:pPr>
    </w:p>
    <w:p w14:paraId="21FDEFFB" w14:textId="14F4D7C2" w:rsidR="00F7617C" w:rsidRDefault="00F7617C" w:rsidP="0068688F">
      <w:pPr>
        <w:spacing w:after="0"/>
        <w:rPr>
          <w:rFonts w:ascii="Times New Roman" w:eastAsia="Georgia" w:hAnsi="Times New Roman" w:cs="Times New Roman"/>
          <w:b/>
          <w:color w:val="auto"/>
          <w:sz w:val="22"/>
          <w:szCs w:val="22"/>
        </w:rPr>
      </w:pPr>
      <w:r>
        <w:rPr>
          <w:rFonts w:ascii="Times New Roman" w:eastAsia="Georgia" w:hAnsi="Times New Roman" w:cs="Times New Roman"/>
          <w:b/>
          <w:color w:val="auto"/>
          <w:sz w:val="22"/>
          <w:szCs w:val="22"/>
        </w:rPr>
        <w:lastRenderedPageBreak/>
        <w:t>Core Documents</w:t>
      </w:r>
    </w:p>
    <w:p w14:paraId="1005FD5B" w14:textId="77777777" w:rsidR="00F7617C" w:rsidRDefault="00F7617C" w:rsidP="0068688F">
      <w:pPr>
        <w:spacing w:after="0"/>
        <w:rPr>
          <w:rFonts w:ascii="Times New Roman" w:eastAsia="Georgia" w:hAnsi="Times New Roman" w:cs="Times New Roman"/>
          <w:b/>
          <w:color w:val="auto"/>
          <w:sz w:val="22"/>
          <w:szCs w:val="22"/>
        </w:rPr>
      </w:pPr>
    </w:p>
    <w:p w14:paraId="000000C8" w14:textId="50D5484D" w:rsidR="00247B95" w:rsidRDefault="005D04B8" w:rsidP="0068688F">
      <w:pPr>
        <w:pBdr>
          <w:top w:val="nil"/>
          <w:left w:val="nil"/>
          <w:bottom w:val="nil"/>
          <w:right w:val="nil"/>
          <w:between w:val="nil"/>
        </w:pBdr>
        <w:spacing w:after="0"/>
        <w:ind w:left="567" w:hanging="567"/>
        <w:rPr>
          <w:rFonts w:ascii="Times New Roman" w:eastAsia="Arial" w:hAnsi="Times New Roman" w:cs="Times New Roman"/>
          <w:color w:val="auto"/>
          <w:sz w:val="22"/>
          <w:szCs w:val="22"/>
          <w:u w:val="single"/>
        </w:rPr>
      </w:pPr>
      <w:r w:rsidRPr="00B8594A">
        <w:rPr>
          <w:rFonts w:ascii="Times New Roman" w:eastAsia="Arial" w:hAnsi="Times New Roman" w:cs="Times New Roman"/>
          <w:color w:val="auto"/>
          <w:sz w:val="22"/>
          <w:szCs w:val="22"/>
        </w:rPr>
        <w:t xml:space="preserve">Commission for Architecture and the Built Environment. (2008). Inclusion by Design. Retrieved from </w:t>
      </w:r>
      <w:hyperlink r:id="rId39">
        <w:r w:rsidRPr="00B8594A">
          <w:rPr>
            <w:rFonts w:ascii="Times New Roman" w:eastAsia="Arial" w:hAnsi="Times New Roman" w:cs="Times New Roman"/>
            <w:color w:val="auto"/>
            <w:sz w:val="22"/>
            <w:szCs w:val="22"/>
            <w:u w:val="single"/>
          </w:rPr>
          <w:t>https://www.designcouncil.org.uk/sites/default/files/asset/document/inclusion-by-design.pdf</w:t>
        </w:r>
      </w:hyperlink>
    </w:p>
    <w:p w14:paraId="21438D50" w14:textId="77777777" w:rsidR="00F7617C" w:rsidRPr="00B8594A" w:rsidRDefault="00F7617C" w:rsidP="0068688F">
      <w:pPr>
        <w:pBdr>
          <w:top w:val="nil"/>
          <w:left w:val="nil"/>
          <w:bottom w:val="nil"/>
          <w:right w:val="nil"/>
          <w:between w:val="nil"/>
        </w:pBdr>
        <w:spacing w:after="0"/>
        <w:ind w:left="567" w:hanging="567"/>
        <w:rPr>
          <w:rFonts w:ascii="Times New Roman" w:eastAsia="Arial" w:hAnsi="Times New Roman" w:cs="Times New Roman"/>
          <w:color w:val="auto"/>
          <w:sz w:val="22"/>
          <w:szCs w:val="22"/>
        </w:rPr>
      </w:pPr>
    </w:p>
    <w:p w14:paraId="000000CA" w14:textId="3790F9A6" w:rsidR="00247B95" w:rsidRDefault="005D04B8" w:rsidP="0068688F">
      <w:pPr>
        <w:pBdr>
          <w:top w:val="nil"/>
          <w:left w:val="nil"/>
          <w:bottom w:val="nil"/>
          <w:right w:val="nil"/>
          <w:between w:val="nil"/>
        </w:pBdr>
        <w:spacing w:after="0"/>
        <w:ind w:left="567" w:hanging="567"/>
        <w:rPr>
          <w:rFonts w:ascii="Times New Roman" w:eastAsia="Arial" w:hAnsi="Times New Roman" w:cs="Times New Roman"/>
          <w:color w:val="auto"/>
          <w:sz w:val="22"/>
          <w:szCs w:val="22"/>
          <w:u w:val="single"/>
        </w:rPr>
      </w:pPr>
      <w:r w:rsidRPr="00B8594A">
        <w:rPr>
          <w:rFonts w:ascii="Times New Roman" w:eastAsia="Arial" w:hAnsi="Times New Roman" w:cs="Times New Roman"/>
          <w:color w:val="auto"/>
          <w:sz w:val="22"/>
          <w:szCs w:val="22"/>
        </w:rPr>
        <w:t xml:space="preserve">Jacobs, B., &amp; Ederer, D. (n.d.). Introduction to Equitable and Sustainable Development. Retrieved January 01, 2021, from </w:t>
      </w:r>
      <w:hyperlink r:id="rId40">
        <w:r w:rsidRPr="00B8594A">
          <w:rPr>
            <w:rFonts w:ascii="Times New Roman" w:eastAsia="Arial" w:hAnsi="Times New Roman" w:cs="Times New Roman"/>
            <w:color w:val="auto"/>
            <w:sz w:val="22"/>
            <w:szCs w:val="22"/>
            <w:u w:val="single"/>
          </w:rPr>
          <w:t>https://serve-learn-sustain.gatech.edu/introduction-equitable-and-sustainable-development</w:t>
        </w:r>
      </w:hyperlink>
    </w:p>
    <w:p w14:paraId="4FC62900" w14:textId="77777777" w:rsidR="00F7617C" w:rsidRPr="00B8594A" w:rsidRDefault="00F7617C" w:rsidP="0068688F">
      <w:pPr>
        <w:pBdr>
          <w:top w:val="nil"/>
          <w:left w:val="nil"/>
          <w:bottom w:val="nil"/>
          <w:right w:val="nil"/>
          <w:between w:val="nil"/>
        </w:pBdr>
        <w:spacing w:after="0"/>
        <w:ind w:left="567" w:hanging="567"/>
        <w:rPr>
          <w:rFonts w:ascii="Times New Roman" w:eastAsia="Arial" w:hAnsi="Times New Roman" w:cs="Times New Roman"/>
          <w:color w:val="auto"/>
          <w:sz w:val="22"/>
          <w:szCs w:val="22"/>
        </w:rPr>
      </w:pPr>
    </w:p>
    <w:p w14:paraId="000000CC" w14:textId="001FBAB9" w:rsidR="00247B95" w:rsidRPr="00B8594A" w:rsidRDefault="005D04B8" w:rsidP="00F7617C">
      <w:pPr>
        <w:pBdr>
          <w:top w:val="nil"/>
          <w:left w:val="nil"/>
          <w:bottom w:val="nil"/>
          <w:right w:val="nil"/>
          <w:between w:val="nil"/>
        </w:pBdr>
        <w:spacing w:after="0"/>
        <w:ind w:left="720" w:hanging="720"/>
        <w:rPr>
          <w:rFonts w:ascii="Times New Roman" w:eastAsia="Georgia" w:hAnsi="Times New Roman" w:cs="Times New Roman"/>
          <w:color w:val="auto"/>
          <w:sz w:val="22"/>
          <w:szCs w:val="22"/>
        </w:rPr>
      </w:pPr>
      <w:r w:rsidRPr="00B8594A">
        <w:rPr>
          <w:rFonts w:ascii="Times New Roman" w:eastAsia="Arial" w:hAnsi="Times New Roman" w:cs="Times New Roman"/>
          <w:color w:val="auto"/>
          <w:sz w:val="22"/>
          <w:szCs w:val="22"/>
        </w:rPr>
        <w:t xml:space="preserve">National Association for the Advancement of Colored People. (2019, July). NAACP Getting Beyond Green Report. Retrieved from </w:t>
      </w:r>
      <w:hyperlink r:id="rId41">
        <w:r w:rsidRPr="00B8594A">
          <w:rPr>
            <w:rFonts w:ascii="Times New Roman" w:eastAsia="Arial" w:hAnsi="Times New Roman" w:cs="Times New Roman"/>
            <w:color w:val="auto"/>
            <w:sz w:val="22"/>
            <w:szCs w:val="22"/>
            <w:u w:val="single"/>
          </w:rPr>
          <w:t>https://mcgrawimages.buildingmedia.com/CE/CE_images/2020/oct/CESBS_Equity_Baseline_for_Building_Standards_July_2019.pdf</w:t>
        </w:r>
      </w:hyperlink>
    </w:p>
    <w:p w14:paraId="000000D4" w14:textId="77777777" w:rsidR="00247B95" w:rsidRPr="00B8594A" w:rsidRDefault="00247B95" w:rsidP="0068688F">
      <w:pPr>
        <w:spacing w:after="0"/>
        <w:ind w:left="720"/>
        <w:rPr>
          <w:rFonts w:ascii="Times New Roman" w:eastAsia="Arial" w:hAnsi="Times New Roman" w:cs="Times New Roman"/>
          <w:color w:val="auto"/>
          <w:sz w:val="22"/>
          <w:szCs w:val="22"/>
        </w:rPr>
      </w:pPr>
    </w:p>
    <w:sectPr w:rsidR="00247B95" w:rsidRPr="00B8594A" w:rsidSect="0068688F">
      <w:pgSz w:w="12240" w:h="15840"/>
      <w:pgMar w:top="1440" w:right="1440" w:bottom="1440" w:left="1440" w:header="432" w:footer="36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5E5D" w14:textId="77777777" w:rsidR="00DE7B74" w:rsidRDefault="00DE7B74">
      <w:pPr>
        <w:spacing w:after="0"/>
      </w:pPr>
      <w:r>
        <w:separator/>
      </w:r>
    </w:p>
  </w:endnote>
  <w:endnote w:type="continuationSeparator" w:id="0">
    <w:p w14:paraId="29070556" w14:textId="77777777" w:rsidR="00DE7B74" w:rsidRDefault="00DE7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77777777" w:rsidR="00247B95" w:rsidRDefault="005D04B8">
    <w:pPr>
      <w:pBdr>
        <w:top w:val="nil"/>
        <w:left w:val="nil"/>
        <w:bottom w:val="nil"/>
        <w:right w:val="nil"/>
        <w:between w:val="nil"/>
      </w:pBdr>
      <w:tabs>
        <w:tab w:val="center" w:pos="4680"/>
        <w:tab w:val="right" w:pos="9360"/>
      </w:tabs>
      <w:jc w:val="center"/>
      <w:rPr>
        <w:color w:val="808080"/>
      </w:rPr>
    </w:pPr>
    <w:r>
      <w:rPr>
        <w:noProof/>
        <w:color w:val="808080"/>
      </w:rPr>
      <w:drawing>
        <wp:inline distT="0" distB="0" distL="0" distR="0" wp14:anchorId="43A5EF6F" wp14:editId="4FDF40B4">
          <wp:extent cx="5943600" cy="344170"/>
          <wp:effectExtent l="0" t="0" r="0" b="0"/>
          <wp:docPr id="5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43600" cy="3441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8E1E" w14:textId="77777777" w:rsidR="00DE7B74" w:rsidRDefault="00DE7B74">
      <w:pPr>
        <w:spacing w:after="0"/>
      </w:pPr>
      <w:r>
        <w:separator/>
      </w:r>
    </w:p>
  </w:footnote>
  <w:footnote w:type="continuationSeparator" w:id="0">
    <w:p w14:paraId="65C53B08" w14:textId="77777777" w:rsidR="00DE7B74" w:rsidRDefault="00DE7B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777777" w:rsidR="00247B95" w:rsidRDefault="005D04B8">
    <w:pPr>
      <w:pBdr>
        <w:top w:val="nil"/>
        <w:left w:val="nil"/>
        <w:bottom w:val="nil"/>
        <w:right w:val="nil"/>
        <w:between w:val="nil"/>
      </w:pBdr>
      <w:tabs>
        <w:tab w:val="center" w:pos="4680"/>
        <w:tab w:val="right" w:pos="9360"/>
      </w:tabs>
      <w:jc w:val="right"/>
    </w:pPr>
    <w:r>
      <w:rPr>
        <w:noProof/>
      </w:rPr>
      <w:drawing>
        <wp:anchor distT="0" distB="0" distL="114300" distR="114300" simplePos="0" relativeHeight="251658240" behindDoc="0" locked="0" layoutInCell="1" allowOverlap="1" wp14:anchorId="50AB32B7" wp14:editId="01DA1AFF">
          <wp:simplePos x="0" y="0"/>
          <wp:positionH relativeFrom="column">
            <wp:posOffset>5810250</wp:posOffset>
          </wp:positionH>
          <wp:positionV relativeFrom="paragraph">
            <wp:posOffset>-112395</wp:posOffset>
          </wp:positionV>
          <wp:extent cx="3085282" cy="238318"/>
          <wp:effectExtent l="0" t="0" r="1270" b="9525"/>
          <wp:wrapSquare wrapText="bothSides"/>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085282" cy="238318"/>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8" w14:textId="77777777" w:rsidR="00247B95" w:rsidRDefault="005D04B8">
    <w:pPr>
      <w:pBdr>
        <w:top w:val="nil"/>
        <w:left w:val="nil"/>
        <w:bottom w:val="nil"/>
        <w:right w:val="nil"/>
        <w:between w:val="nil"/>
      </w:pBdr>
      <w:tabs>
        <w:tab w:val="center" w:pos="4680"/>
        <w:tab w:val="right" w:pos="9360"/>
      </w:tabs>
    </w:pPr>
    <w:r>
      <w:rPr>
        <w:noProof/>
      </w:rPr>
      <w:drawing>
        <wp:inline distT="0" distB="0" distL="0" distR="0" wp14:anchorId="7B926A09" wp14:editId="3AFAD40E">
          <wp:extent cx="5943600" cy="459105"/>
          <wp:effectExtent l="0" t="0" r="0" b="0"/>
          <wp:docPr id="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459105"/>
                  </a:xfrm>
                  <a:prstGeom prst="rect">
                    <a:avLst/>
                  </a:prstGeom>
                  <a:ln/>
                </pic:spPr>
              </pic:pic>
            </a:graphicData>
          </a:graphic>
        </wp:inline>
      </w:drawing>
    </w:r>
  </w:p>
  <w:p w14:paraId="000000D9" w14:textId="77777777" w:rsidR="00247B95" w:rsidRDefault="00247B95">
    <w:pPr>
      <w:pBdr>
        <w:top w:val="nil"/>
        <w:left w:val="nil"/>
        <w:bottom w:val="nil"/>
        <w:right w:val="nil"/>
        <w:between w:val="nil"/>
      </w:pBdr>
      <w:tabs>
        <w:tab w:val="center" w:pos="4680"/>
        <w:tab w:val="right" w:pos="9360"/>
      </w:tabs>
    </w:pPr>
  </w:p>
  <w:p w14:paraId="000000DA" w14:textId="77777777" w:rsidR="00247B95" w:rsidRDefault="00247B95">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454" w14:textId="7AA9034C" w:rsidR="00F7617C" w:rsidRDefault="00F7617C">
    <w:pPr>
      <w:pBdr>
        <w:top w:val="nil"/>
        <w:left w:val="nil"/>
        <w:bottom w:val="nil"/>
        <w:right w:val="nil"/>
        <w:between w:val="nil"/>
      </w:pBdr>
      <w:tabs>
        <w:tab w:val="center" w:pos="468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1C3"/>
    <w:multiLevelType w:val="hybridMultilevel"/>
    <w:tmpl w:val="AC40BED8"/>
    <w:lvl w:ilvl="0" w:tplc="396AE68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64428"/>
    <w:multiLevelType w:val="multilevel"/>
    <w:tmpl w:val="F99A1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F0010C"/>
    <w:multiLevelType w:val="hybridMultilevel"/>
    <w:tmpl w:val="7512C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62DCC"/>
    <w:multiLevelType w:val="multilevel"/>
    <w:tmpl w:val="45F40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F94A91"/>
    <w:multiLevelType w:val="multilevel"/>
    <w:tmpl w:val="CAD2638E"/>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9E85E67"/>
    <w:multiLevelType w:val="multilevel"/>
    <w:tmpl w:val="E00E1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CF4CC1"/>
    <w:multiLevelType w:val="multilevel"/>
    <w:tmpl w:val="A442F50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5"/>
    <w:rsid w:val="000F5DB2"/>
    <w:rsid w:val="00247B95"/>
    <w:rsid w:val="0026033A"/>
    <w:rsid w:val="003935DF"/>
    <w:rsid w:val="00472F47"/>
    <w:rsid w:val="004A2856"/>
    <w:rsid w:val="005D04B8"/>
    <w:rsid w:val="0068688F"/>
    <w:rsid w:val="0079220F"/>
    <w:rsid w:val="007A52C5"/>
    <w:rsid w:val="007C0DD7"/>
    <w:rsid w:val="00840B56"/>
    <w:rsid w:val="00933560"/>
    <w:rsid w:val="00942A9C"/>
    <w:rsid w:val="00B10EF6"/>
    <w:rsid w:val="00B7716C"/>
    <w:rsid w:val="00B8594A"/>
    <w:rsid w:val="00CF4C13"/>
    <w:rsid w:val="00D62D35"/>
    <w:rsid w:val="00DE7B74"/>
    <w:rsid w:val="00F7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22AE"/>
  <w15:docId w15:val="{36530BBB-FA0A-473C-BDD4-7DE3F93E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545454"/>
        <w:sz w:val="18"/>
        <w:szCs w:val="18"/>
        <w:lang w:val="en-US" w:eastAsia="en-US" w:bidi="ar-SA"/>
      </w:rPr>
    </w:rPrDefault>
    <w:pPrDefault>
      <w:pPr>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2A"/>
    <w:rPr>
      <w:szCs w:val="24"/>
    </w:rPr>
  </w:style>
  <w:style w:type="paragraph" w:styleId="Heading1">
    <w:name w:val="heading 1"/>
    <w:basedOn w:val="Normal"/>
    <w:next w:val="Normal"/>
    <w:link w:val="Heading1Char"/>
    <w:uiPriority w:val="9"/>
    <w:qFormat/>
    <w:rsid w:val="007A0C67"/>
    <w:pPr>
      <w:spacing w:line="288" w:lineRule="auto"/>
      <w:outlineLvl w:val="0"/>
    </w:pPr>
    <w:rPr>
      <w:rFonts w:cs="Times New Roman"/>
      <w:b/>
      <w:color w:val="auto"/>
      <w:sz w:val="36"/>
      <w:szCs w:val="36"/>
    </w:rPr>
  </w:style>
  <w:style w:type="paragraph" w:styleId="Heading2">
    <w:name w:val="heading 2"/>
    <w:basedOn w:val="Normal"/>
    <w:next w:val="Normal"/>
    <w:link w:val="Heading2Char"/>
    <w:uiPriority w:val="9"/>
    <w:semiHidden/>
    <w:unhideWhenUsed/>
    <w:qFormat/>
    <w:rsid w:val="00F65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54FA"/>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5622A"/>
    <w:pPr>
      <w:tabs>
        <w:tab w:val="center" w:pos="4680"/>
        <w:tab w:val="right" w:pos="9360"/>
      </w:tabs>
    </w:pPr>
  </w:style>
  <w:style w:type="character" w:customStyle="1" w:styleId="HeaderChar">
    <w:name w:val="Header Char"/>
    <w:basedOn w:val="DefaultParagraphFont"/>
    <w:link w:val="Header"/>
    <w:uiPriority w:val="99"/>
    <w:rsid w:val="00A5622A"/>
    <w:rPr>
      <w:rFonts w:ascii="Trebuchet MS" w:hAnsi="Trebuchet MS"/>
      <w:color w:val="545454"/>
      <w:sz w:val="18"/>
      <w:szCs w:val="24"/>
    </w:rPr>
  </w:style>
  <w:style w:type="paragraph" w:styleId="Footer">
    <w:name w:val="footer"/>
    <w:basedOn w:val="Normal"/>
    <w:link w:val="FooterChar"/>
    <w:uiPriority w:val="99"/>
    <w:unhideWhenUsed/>
    <w:rsid w:val="00A5622A"/>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A5622A"/>
    <w:rPr>
      <w:rFonts w:ascii="Trebuchet MS" w:hAnsi="Trebuchet MS"/>
      <w:color w:val="808080"/>
      <w:sz w:val="18"/>
      <w:szCs w:val="24"/>
    </w:rPr>
  </w:style>
  <w:style w:type="paragraph" w:styleId="ListParagraph">
    <w:name w:val="List Paragraph"/>
    <w:basedOn w:val="Normal"/>
    <w:uiPriority w:val="34"/>
    <w:qFormat/>
    <w:rsid w:val="00A5622A"/>
    <w:pPr>
      <w:ind w:left="720"/>
      <w:contextualSpacing/>
    </w:pPr>
  </w:style>
  <w:style w:type="table" w:styleId="TableGrid">
    <w:name w:val="Table Grid"/>
    <w:basedOn w:val="TableNormal"/>
    <w:uiPriority w:val="39"/>
    <w:rsid w:val="00A5622A"/>
    <w:pPr>
      <w:spacing w:after="0"/>
    </w:pPr>
    <w:rPr>
      <w:rFonts w:asciiTheme="minorHAnsi" w:hAnsiTheme="minorHAnsi"/>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5622A"/>
    <w:pPr>
      <w:spacing w:before="120" w:after="180"/>
    </w:pPr>
  </w:style>
  <w:style w:type="character" w:customStyle="1" w:styleId="Heading1Char">
    <w:name w:val="Heading 1 Char"/>
    <w:basedOn w:val="DefaultParagraphFont"/>
    <w:link w:val="Heading1"/>
    <w:uiPriority w:val="9"/>
    <w:rsid w:val="007A0C67"/>
    <w:rPr>
      <w:rFonts w:ascii="Trebuchet MS" w:hAnsi="Trebuchet MS" w:cs="Times New Roman"/>
      <w:b/>
      <w:sz w:val="36"/>
      <w:szCs w:val="36"/>
    </w:rPr>
  </w:style>
  <w:style w:type="character" w:customStyle="1" w:styleId="normaltextrun">
    <w:name w:val="normaltextrun"/>
    <w:basedOn w:val="DefaultParagraphFont"/>
    <w:rsid w:val="007A0C67"/>
  </w:style>
  <w:style w:type="paragraph" w:customStyle="1" w:styleId="paragraph">
    <w:name w:val="paragraph"/>
    <w:basedOn w:val="Normal"/>
    <w:rsid w:val="007A0C67"/>
    <w:pPr>
      <w:spacing w:before="100" w:beforeAutospacing="1" w:after="100" w:afterAutospacing="1"/>
    </w:pPr>
    <w:rPr>
      <w:rFonts w:ascii="Times New Roman" w:eastAsia="Times New Roman" w:hAnsi="Times New Roman" w:cs="Times New Roman"/>
      <w:color w:val="auto"/>
      <w:sz w:val="24"/>
    </w:rPr>
  </w:style>
  <w:style w:type="paragraph" w:customStyle="1" w:styleId="Default">
    <w:name w:val="Default"/>
    <w:rsid w:val="007A0C67"/>
    <w:pPr>
      <w:autoSpaceDE w:val="0"/>
      <w:autoSpaceDN w:val="0"/>
      <w:adjustRightInd w:val="0"/>
      <w:spacing w:after="0"/>
    </w:pPr>
    <w:rPr>
      <w:rFonts w:ascii="Calibri" w:hAnsi="Calibri" w:cs="Calibri"/>
      <w:color w:val="000000"/>
      <w:szCs w:val="24"/>
    </w:rPr>
  </w:style>
  <w:style w:type="character" w:styleId="Hyperlink">
    <w:name w:val="Hyperlink"/>
    <w:basedOn w:val="DefaultParagraphFont"/>
    <w:uiPriority w:val="99"/>
    <w:unhideWhenUsed/>
    <w:rsid w:val="00681222"/>
    <w:rPr>
      <w:color w:val="0563C1" w:themeColor="hyperlink"/>
      <w:u w:val="single"/>
    </w:rPr>
  </w:style>
  <w:style w:type="character" w:customStyle="1" w:styleId="UnresolvedMention1">
    <w:name w:val="Unresolved Mention1"/>
    <w:basedOn w:val="DefaultParagraphFont"/>
    <w:uiPriority w:val="99"/>
    <w:semiHidden/>
    <w:unhideWhenUsed/>
    <w:rsid w:val="00681222"/>
    <w:rPr>
      <w:color w:val="808080"/>
      <w:shd w:val="clear" w:color="auto" w:fill="E6E6E6"/>
    </w:rPr>
  </w:style>
  <w:style w:type="character" w:customStyle="1" w:styleId="Heading2Char">
    <w:name w:val="Heading 2 Char"/>
    <w:basedOn w:val="DefaultParagraphFont"/>
    <w:link w:val="Heading2"/>
    <w:uiPriority w:val="9"/>
    <w:semiHidden/>
    <w:rsid w:val="00F65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654FA"/>
    <w:rPr>
      <w:rFonts w:asciiTheme="majorHAnsi" w:eastAsiaTheme="majorEastAsia" w:hAnsiTheme="majorHAnsi" w:cstheme="majorBidi"/>
      <w:color w:val="1F3763" w:themeColor="accent1" w:themeShade="7F"/>
      <w:szCs w:val="24"/>
    </w:rPr>
  </w:style>
  <w:style w:type="paragraph" w:styleId="Bibliography">
    <w:name w:val="Bibliography"/>
    <w:basedOn w:val="Normal"/>
    <w:next w:val="Normal"/>
    <w:uiPriority w:val="37"/>
    <w:semiHidden/>
    <w:unhideWhenUsed/>
    <w:rsid w:val="00F654FA"/>
  </w:style>
  <w:style w:type="character" w:customStyle="1" w:styleId="peg1">
    <w:name w:val="_pe_g1"/>
    <w:basedOn w:val="DefaultParagraphFont"/>
    <w:rsid w:val="00777E22"/>
  </w:style>
  <w:style w:type="paragraph" w:customStyle="1" w:styleId="Caption1">
    <w:name w:val="Caption1"/>
    <w:basedOn w:val="Normal"/>
    <w:next w:val="Normal"/>
    <w:uiPriority w:val="35"/>
    <w:unhideWhenUsed/>
    <w:qFormat/>
    <w:rsid w:val="00777E22"/>
    <w:pPr>
      <w:spacing w:after="200"/>
    </w:pPr>
    <w:rPr>
      <w:rFonts w:cs="Times New Roman"/>
      <w:i/>
      <w:iCs/>
      <w:color w:val="44546A"/>
      <w:szCs w:val="18"/>
    </w:rPr>
  </w:style>
  <w:style w:type="character" w:styleId="PageNumber">
    <w:name w:val="page number"/>
    <w:basedOn w:val="DefaultParagraphFont"/>
    <w:uiPriority w:val="99"/>
    <w:semiHidden/>
    <w:unhideWhenUsed/>
    <w:rsid w:val="00EF3C6D"/>
  </w:style>
  <w:style w:type="character" w:styleId="CommentReference">
    <w:name w:val="annotation reference"/>
    <w:basedOn w:val="DefaultParagraphFont"/>
    <w:uiPriority w:val="99"/>
    <w:semiHidden/>
    <w:unhideWhenUsed/>
    <w:rsid w:val="00553651"/>
    <w:rPr>
      <w:sz w:val="16"/>
      <w:szCs w:val="16"/>
    </w:rPr>
  </w:style>
  <w:style w:type="paragraph" w:styleId="CommentText">
    <w:name w:val="annotation text"/>
    <w:basedOn w:val="Normal"/>
    <w:link w:val="CommentTextChar"/>
    <w:uiPriority w:val="99"/>
    <w:semiHidden/>
    <w:unhideWhenUsed/>
    <w:rsid w:val="00553651"/>
    <w:rPr>
      <w:sz w:val="20"/>
      <w:szCs w:val="20"/>
    </w:rPr>
  </w:style>
  <w:style w:type="character" w:customStyle="1" w:styleId="CommentTextChar">
    <w:name w:val="Comment Text Char"/>
    <w:basedOn w:val="DefaultParagraphFont"/>
    <w:link w:val="CommentText"/>
    <w:uiPriority w:val="99"/>
    <w:semiHidden/>
    <w:rsid w:val="00553651"/>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553651"/>
    <w:rPr>
      <w:b/>
      <w:bCs/>
    </w:rPr>
  </w:style>
  <w:style w:type="character" w:customStyle="1" w:styleId="CommentSubjectChar">
    <w:name w:val="Comment Subject Char"/>
    <w:basedOn w:val="CommentTextChar"/>
    <w:link w:val="CommentSubject"/>
    <w:uiPriority w:val="99"/>
    <w:semiHidden/>
    <w:rsid w:val="00553651"/>
    <w:rPr>
      <w:rFonts w:ascii="Trebuchet MS" w:hAnsi="Trebuchet MS"/>
      <w:b/>
      <w:bCs/>
      <w:color w:val="545454"/>
      <w:sz w:val="20"/>
      <w:szCs w:val="20"/>
    </w:rPr>
  </w:style>
  <w:style w:type="paragraph" w:styleId="BalloonText">
    <w:name w:val="Balloon Text"/>
    <w:basedOn w:val="Normal"/>
    <w:link w:val="BalloonTextChar"/>
    <w:uiPriority w:val="99"/>
    <w:semiHidden/>
    <w:unhideWhenUsed/>
    <w:rsid w:val="0055365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53651"/>
    <w:rPr>
      <w:rFonts w:ascii="Segoe UI" w:hAnsi="Segoe UI" w:cs="Segoe UI"/>
      <w:color w:val="545454"/>
      <w:sz w:val="18"/>
      <w:szCs w:val="18"/>
    </w:rPr>
  </w:style>
  <w:style w:type="paragraph" w:styleId="NormalWeb">
    <w:name w:val="Normal (Web)"/>
    <w:basedOn w:val="Normal"/>
    <w:uiPriority w:val="99"/>
    <w:unhideWhenUsed/>
    <w:rsid w:val="00983FEC"/>
    <w:pPr>
      <w:spacing w:before="100" w:beforeAutospacing="1" w:after="100" w:afterAutospacing="1"/>
    </w:pPr>
    <w:rPr>
      <w:rFonts w:ascii="Times New Roman" w:eastAsia="Times New Roman" w:hAnsi="Times New Roman" w:cs="Times New Roman"/>
      <w:color w:val="auto"/>
      <w:sz w:val="24"/>
    </w:rPr>
  </w:style>
  <w:style w:type="character" w:styleId="FollowedHyperlink">
    <w:name w:val="FollowedHyperlink"/>
    <w:basedOn w:val="DefaultParagraphFont"/>
    <w:uiPriority w:val="99"/>
    <w:semiHidden/>
    <w:unhideWhenUsed/>
    <w:rsid w:val="00384BA9"/>
    <w:rPr>
      <w:color w:val="954F72" w:themeColor="followedHyperlink"/>
      <w:u w:val="single"/>
    </w:rPr>
  </w:style>
  <w:style w:type="character" w:styleId="Emphasis">
    <w:name w:val="Emphasis"/>
    <w:basedOn w:val="DefaultParagraphFont"/>
    <w:uiPriority w:val="20"/>
    <w:qFormat/>
    <w:rsid w:val="004E06DF"/>
    <w:rPr>
      <w:i/>
      <w:iCs/>
    </w:rPr>
  </w:style>
  <w:style w:type="character" w:styleId="UnresolvedMention">
    <w:name w:val="Unresolved Mention"/>
    <w:basedOn w:val="DefaultParagraphFont"/>
    <w:uiPriority w:val="99"/>
    <w:semiHidden/>
    <w:unhideWhenUsed/>
    <w:rsid w:val="001263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pPr>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pPr>
      <w:spacing w:after="0"/>
    </w:pPr>
    <w:rPr>
      <w:rFonts w:ascii="Calibri" w:eastAsia="Calibri" w:hAnsi="Calibri" w:cs="Calibri"/>
    </w:rPr>
    <w:tblPr>
      <w:tblStyleRowBandSize w:val="1"/>
      <w:tblStyleColBandSize w:val="1"/>
      <w:tblCellMar>
        <w:left w:w="115" w:type="dxa"/>
        <w:right w:w="115" w:type="dxa"/>
      </w:tblCellMar>
    </w:tblPr>
  </w:style>
  <w:style w:type="table" w:customStyle="1" w:styleId="a7">
    <w:basedOn w:val="TableNormal"/>
    <w:pPr>
      <w:spacing w:after="0"/>
    </w:pPr>
    <w:rPr>
      <w:rFonts w:ascii="Calibri" w:eastAsia="Calibri" w:hAnsi="Calibri" w:cs="Calibri"/>
    </w:rPr>
    <w:tblPr>
      <w:tblStyleRowBandSize w:val="1"/>
      <w:tblStyleColBandSize w:val="1"/>
      <w:tblCellMar>
        <w:left w:w="115" w:type="dxa"/>
        <w:right w:w="115" w:type="dxa"/>
      </w:tblCellMar>
    </w:tblPr>
  </w:style>
  <w:style w:type="table" w:customStyle="1" w:styleId="a8">
    <w:basedOn w:val="TableNormal"/>
    <w:pPr>
      <w:spacing w:after="0"/>
    </w:pPr>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
    <w:pPr>
      <w:spacing w:after="0"/>
    </w:pPr>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
    <w:pPr>
      <w:spacing w:after="0"/>
    </w:pPr>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ivilandhumanrights.org/" TargetMode="External"/><Relationship Id="rId26" Type="http://schemas.openxmlformats.org/officeDocument/2006/relationships/hyperlink" Target="https://www.designcouncil.org.uk/sites/default/files/asset/document/inclusion-by-design.pdf" TargetMode="External"/><Relationship Id="rId39" Type="http://schemas.openxmlformats.org/officeDocument/2006/relationships/hyperlink" Target="https://www.designcouncil.org.uk/sites/default/files/asset/document/inclusion-by-design.pdf" TargetMode="External"/><Relationship Id="rId21" Type="http://schemas.openxmlformats.org/officeDocument/2006/relationships/hyperlink" Target="https://www.bloomberg.com/news/articles/2020-06-03/how-to-design-justice-into-america-s-cities" TargetMode="External"/><Relationship Id="rId34" Type="http://schemas.openxmlformats.org/officeDocument/2006/relationships/hyperlink" Target="https://www.kingcounty.gov/about/policies/executive/peraeo/per131aeo.aspx"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erve-learn-sustain.gatech.edu/ever-land-living-building-documentary-guided-reflection" TargetMode="External"/><Relationship Id="rId20" Type="http://schemas.openxmlformats.org/officeDocument/2006/relationships/hyperlink" Target="https://www.bloomberg.com/news/articles/2020-06-03/how-to-design-justice-into-america-s-cities" TargetMode="External"/><Relationship Id="rId29" Type="http://schemas.openxmlformats.org/officeDocument/2006/relationships/hyperlink" Target="https://www.nzonscreen.com/title/ever-the-land-2015" TargetMode="External"/><Relationship Id="rId41" Type="http://schemas.openxmlformats.org/officeDocument/2006/relationships/hyperlink" Target="https://mcgrawimages.buildingmedia.com/CE/CE_images/2020/oct/CESBS_Equity_Baseline_for_Building_Standards_July_20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grawimages.buildingmedia.com/CE/CE_images/2020/oct/CESBS_Equity_Baseline_for_Building_Standards_July_2019.pdf" TargetMode="External"/><Relationship Id="rId24" Type="http://schemas.openxmlformats.org/officeDocument/2006/relationships/hyperlink" Target="https://docs.google.com/document/d/17lhe4T-U-hEAYOnkLqNM6GxpoqZtU98DMvkLp2ugB5o/edit" TargetMode="External"/><Relationship Id="rId32" Type="http://schemas.openxmlformats.org/officeDocument/2006/relationships/hyperlink" Target="http://www.growingchange.org/" TargetMode="External"/><Relationship Id="rId37" Type="http://schemas.openxmlformats.org/officeDocument/2006/relationships/hyperlink" Target="https://www.kingcounty.gov/elected/executive/equity-social-justice/tools-resources.aspx" TargetMode="External"/><Relationship Id="rId40" Type="http://schemas.openxmlformats.org/officeDocument/2006/relationships/hyperlink" Target="https://serve-learn-sustain.gatech.edu/introduction-equitable-and-sustainable-developmen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living-future.org/just/" TargetMode="External"/><Relationship Id="rId28" Type="http://schemas.openxmlformats.org/officeDocument/2006/relationships/hyperlink" Target="https://www.portlanddeltas.org/jkdcc" TargetMode="External"/><Relationship Id="rId36" Type="http://schemas.openxmlformats.org/officeDocument/2006/relationships/hyperlink" Target="https://naacp.org/wp-content/uploads/2020/04/CESBS-Equity-Baseline-for-Building-Standards_July-2019.pdf" TargetMode="External"/><Relationship Id="rId10" Type="http://schemas.openxmlformats.org/officeDocument/2006/relationships/hyperlink" Target="https://www.designcouncil.org.uk/sites/default/files/asset/document/inclusion-by-design.pdf" TargetMode="External"/><Relationship Id="rId19" Type="http://schemas.openxmlformats.org/officeDocument/2006/relationships/hyperlink" Target="https://www.civilandhumanrights.org/" TargetMode="External"/><Relationship Id="rId31" Type="http://schemas.openxmlformats.org/officeDocument/2006/relationships/hyperlink" Target="http://www.growingchange.org/" TargetMode="External"/><Relationship Id="rId4" Type="http://schemas.openxmlformats.org/officeDocument/2006/relationships/styles" Target="styles.xml"/><Relationship Id="rId9" Type="http://schemas.openxmlformats.org/officeDocument/2006/relationships/hyperlink" Target="https://sls.gatech.edu/fundamentals-equity-sustainable-built-environment" TargetMode="External"/><Relationship Id="rId14" Type="http://schemas.openxmlformats.org/officeDocument/2006/relationships/header" Target="header2.xml"/><Relationship Id="rId22" Type="http://schemas.openxmlformats.org/officeDocument/2006/relationships/hyperlink" Target="https://living-future.org/just/" TargetMode="External"/><Relationship Id="rId27" Type="http://schemas.openxmlformats.org/officeDocument/2006/relationships/hyperlink" Target="https://www.portlanddeltas.org/jkdcc" TargetMode="External"/><Relationship Id="rId30" Type="http://schemas.openxmlformats.org/officeDocument/2006/relationships/hyperlink" Target="https://www.nzonscreen.com/title/ever-the-land-2015" TargetMode="External"/><Relationship Id="rId35" Type="http://schemas.openxmlformats.org/officeDocument/2006/relationships/hyperlink" Target="https://naacp.org/wp-content/uploads/2020/04/CESBS-Equity-Baseline-for-Building-Standards_July-2019.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erve-learn-sustain.gatech.edu/introduction-equitable-and-sustainable-development" TargetMode="External"/><Relationship Id="rId17" Type="http://schemas.openxmlformats.org/officeDocument/2006/relationships/hyperlink" Target="https://living-future.org/biophilic/case-studies/te-kura-whare/" TargetMode="External"/><Relationship Id="rId25" Type="http://schemas.openxmlformats.org/officeDocument/2006/relationships/hyperlink" Target="https://www.designcouncil.org.uk/sites/default/files/asset/document/inclusion-by-design.pdf" TargetMode="External"/><Relationship Id="rId33" Type="http://schemas.openxmlformats.org/officeDocument/2006/relationships/hyperlink" Target="https://www.kingcounty.gov/about/policies/executive/peraeo/per131aeo.aspx" TargetMode="Externa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HmM+6D0brVmRSJ1o7haXFyI7Xg==">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C9A444-7BDB-427B-9C26-639A3227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Jacobs</dc:creator>
  <cp:lastModifiedBy>Hirsch, Jennifer L</cp:lastModifiedBy>
  <cp:revision>3</cp:revision>
  <dcterms:created xsi:type="dcterms:W3CDTF">2022-01-05T15:50:00Z</dcterms:created>
  <dcterms:modified xsi:type="dcterms:W3CDTF">2022-01-05T16:16:00Z</dcterms:modified>
</cp:coreProperties>
</file>